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rPr>
      </w:pPr>
    </w:p>
    <w:p>
      <w:pPr>
        <w:ind w:firstLine="848" w:firstLineChars="200"/>
        <w:jc w:val="center"/>
        <w:rPr>
          <w:rFonts w:hint="eastAsia" w:ascii="宋体" w:hAnsi="宋体" w:eastAsia="宋体" w:cs="宋体"/>
          <w:sz w:val="32"/>
        </w:rPr>
      </w:pPr>
      <w:r>
        <w:rPr>
          <w:rFonts w:hint="eastAsia" w:ascii="宋体" w:hAnsi="宋体" w:eastAsia="宋体" w:cs="宋体"/>
          <w:sz w:val="44"/>
        </w:rPr>
        <w:t xml:space="preserve">                   </w:t>
      </w:r>
    </w:p>
    <w:p>
      <w:pPr>
        <w:ind w:firstLine="608" w:firstLineChars="200"/>
        <w:jc w:val="center"/>
        <w:rPr>
          <w:rFonts w:hint="eastAsia" w:ascii="宋体" w:hAnsi="宋体" w:eastAsia="宋体" w:cs="宋体"/>
          <w:b/>
          <w:bCs/>
          <w:sz w:val="44"/>
        </w:rPr>
      </w:pPr>
      <w:r>
        <w:rPr>
          <w:rFonts w:hint="eastAsia" w:ascii="宋体" w:hAnsi="宋体" w:eastAsia="宋体" w:cs="宋体"/>
          <w:sz w:val="32"/>
        </w:rPr>
        <w:t xml:space="preserve">                </w:t>
      </w:r>
      <w:r>
        <w:rPr>
          <w:rFonts w:hint="eastAsia" w:ascii="宋体" w:hAnsi="宋体" w:eastAsia="宋体" w:cs="宋体"/>
          <w:b/>
          <w:bCs/>
          <w:sz w:val="32"/>
        </w:rPr>
        <w:t xml:space="preserve">     合同编号： </w:t>
      </w:r>
    </w:p>
    <w:p>
      <w:pPr>
        <w:jc w:val="center"/>
        <w:rPr>
          <w:rFonts w:hint="eastAsia" w:ascii="宋体" w:hAnsi="宋体" w:eastAsia="宋体" w:cs="宋体"/>
          <w:b/>
          <w:bCs/>
          <w:sz w:val="44"/>
        </w:rPr>
      </w:pPr>
    </w:p>
    <w:p>
      <w:pPr>
        <w:jc w:val="center"/>
        <w:rPr>
          <w:rFonts w:hint="eastAsia" w:ascii="宋体" w:hAnsi="宋体" w:eastAsia="宋体" w:cs="宋体"/>
          <w:b/>
          <w:bCs/>
          <w:sz w:val="48"/>
        </w:rPr>
      </w:pPr>
    </w:p>
    <w:p>
      <w:pPr>
        <w:jc w:val="center"/>
        <w:rPr>
          <w:rFonts w:hint="eastAsia" w:ascii="宋体" w:hAnsi="宋体" w:eastAsia="宋体" w:cs="宋体"/>
          <w:b/>
          <w:bCs/>
          <w:sz w:val="44"/>
          <w:szCs w:val="22"/>
        </w:rPr>
      </w:pPr>
      <w:r>
        <w:rPr>
          <w:rFonts w:hint="eastAsia" w:ascii="宋体" w:hAnsi="宋体" w:eastAsia="宋体" w:cs="宋体"/>
          <w:b/>
          <w:bCs/>
          <w:sz w:val="44"/>
          <w:szCs w:val="22"/>
        </w:rPr>
        <w:t>湛江诚通综合物流园（二期）项目</w:t>
      </w:r>
    </w:p>
    <w:p>
      <w:pPr>
        <w:rPr>
          <w:rFonts w:hint="eastAsia" w:ascii="宋体" w:hAnsi="宋体" w:eastAsia="宋体" w:cs="宋体"/>
          <w:b/>
          <w:bCs/>
          <w:sz w:val="44"/>
          <w:szCs w:val="22"/>
        </w:rPr>
      </w:pPr>
      <w:r>
        <w:rPr>
          <w:rFonts w:hint="eastAsia" w:ascii="宋体" w:hAnsi="宋体" w:eastAsia="宋体" w:cs="宋体"/>
          <w:b/>
          <w:bCs/>
          <w:sz w:val="44"/>
          <w:szCs w:val="22"/>
        </w:rPr>
        <w:t>安全设施“三同时”（安全验收评价）服务合同</w:t>
      </w:r>
    </w:p>
    <w:p>
      <w:pPr>
        <w:rPr>
          <w:rFonts w:hint="eastAsia" w:ascii="宋体" w:hAnsi="宋体" w:eastAsia="宋体" w:cs="宋体"/>
          <w:b/>
          <w:bCs/>
          <w:sz w:val="48"/>
        </w:rPr>
      </w:pPr>
    </w:p>
    <w:p>
      <w:pPr>
        <w:ind w:firstLine="4603" w:firstLineChars="992"/>
        <w:rPr>
          <w:rFonts w:hint="eastAsia" w:ascii="宋体" w:hAnsi="宋体" w:eastAsia="宋体" w:cs="宋体"/>
          <w:b/>
          <w:bCs/>
          <w:sz w:val="48"/>
        </w:rPr>
      </w:pPr>
    </w:p>
    <w:p>
      <w:pPr>
        <w:ind w:firstLine="4603" w:firstLineChars="992"/>
        <w:rPr>
          <w:rFonts w:hint="eastAsia" w:ascii="宋体" w:hAnsi="宋体" w:eastAsia="宋体" w:cs="宋体"/>
          <w:b/>
          <w:bCs/>
          <w:sz w:val="48"/>
        </w:rPr>
      </w:pPr>
    </w:p>
    <w:p>
      <w:pPr>
        <w:ind w:firstLine="4603" w:firstLineChars="992"/>
        <w:rPr>
          <w:rFonts w:hint="eastAsia" w:ascii="宋体" w:hAnsi="宋体" w:eastAsia="宋体" w:cs="宋体"/>
          <w:b/>
          <w:bCs/>
          <w:sz w:val="48"/>
        </w:rPr>
      </w:pPr>
    </w:p>
    <w:p>
      <w:pPr>
        <w:ind w:firstLine="4603" w:firstLineChars="992"/>
        <w:rPr>
          <w:rFonts w:hint="eastAsia" w:ascii="宋体" w:hAnsi="宋体" w:eastAsia="宋体" w:cs="宋体"/>
          <w:b/>
          <w:bCs/>
          <w:sz w:val="48"/>
        </w:rPr>
      </w:pPr>
    </w:p>
    <w:p>
      <w:pPr>
        <w:ind w:left="2553" w:leftChars="342" w:hanging="1651" w:hangingChars="543"/>
        <w:rPr>
          <w:rFonts w:hint="eastAsia" w:ascii="宋体" w:hAnsi="宋体" w:eastAsia="宋体" w:cs="宋体"/>
          <w:b/>
          <w:bCs/>
          <w:sz w:val="32"/>
        </w:rPr>
      </w:pPr>
    </w:p>
    <w:p>
      <w:pPr>
        <w:rPr>
          <w:rFonts w:hint="eastAsia" w:ascii="宋体" w:hAnsi="宋体" w:eastAsia="宋体" w:cs="宋体"/>
          <w:b/>
          <w:bCs/>
          <w:sz w:val="32"/>
        </w:rPr>
      </w:pPr>
    </w:p>
    <w:p>
      <w:pPr>
        <w:rPr>
          <w:rFonts w:hint="eastAsia" w:ascii="宋体" w:hAnsi="宋体" w:eastAsia="宋体" w:cs="宋体"/>
          <w:b/>
          <w:bCs/>
          <w:sz w:val="32"/>
        </w:rPr>
      </w:pPr>
    </w:p>
    <w:p>
      <w:pPr>
        <w:rPr>
          <w:rFonts w:hint="eastAsia" w:ascii="宋体" w:hAnsi="宋体" w:eastAsia="宋体" w:cs="宋体"/>
          <w:b/>
          <w:bCs/>
          <w:sz w:val="32"/>
        </w:rPr>
      </w:pPr>
    </w:p>
    <w:p>
      <w:pPr>
        <w:ind w:firstLine="909" w:firstLineChars="299"/>
        <w:rPr>
          <w:rFonts w:hint="eastAsia" w:ascii="宋体" w:hAnsi="宋体" w:eastAsia="宋体" w:cs="宋体"/>
          <w:b/>
          <w:bCs/>
          <w:sz w:val="32"/>
        </w:rPr>
      </w:pPr>
      <w:r>
        <w:rPr>
          <w:rFonts w:hint="eastAsia" w:ascii="宋体" w:hAnsi="宋体" w:eastAsia="宋体" w:cs="宋体"/>
          <w:b/>
          <w:bCs/>
          <w:sz w:val="32"/>
        </w:rPr>
        <w:t xml:space="preserve">委 托 方（甲方）:  湛江诚通物流有限公司                  </w:t>
      </w:r>
    </w:p>
    <w:p>
      <w:pPr>
        <w:ind w:firstLine="909" w:firstLineChars="299"/>
        <w:rPr>
          <w:rFonts w:hint="eastAsia" w:ascii="宋体" w:hAnsi="宋体" w:eastAsia="宋体" w:cs="宋体"/>
          <w:b/>
          <w:bCs/>
          <w:sz w:val="32"/>
        </w:rPr>
      </w:pPr>
      <w:r>
        <w:rPr>
          <w:rFonts w:hint="eastAsia" w:ascii="宋体" w:hAnsi="宋体" w:eastAsia="宋体" w:cs="宋体"/>
          <w:b/>
          <w:bCs/>
          <w:sz w:val="32"/>
        </w:rPr>
        <w:t xml:space="preserve">                 </w:t>
      </w:r>
    </w:p>
    <w:p>
      <w:pPr>
        <w:ind w:firstLine="909" w:firstLineChars="299"/>
        <w:rPr>
          <w:rFonts w:hint="eastAsia" w:ascii="宋体" w:hAnsi="宋体" w:eastAsia="宋体" w:cs="宋体"/>
          <w:b/>
          <w:bCs/>
          <w:sz w:val="32"/>
        </w:rPr>
      </w:pPr>
      <w:r>
        <w:rPr>
          <w:rFonts w:hint="eastAsia" w:ascii="宋体" w:hAnsi="宋体" w:eastAsia="宋体" w:cs="宋体"/>
          <w:b/>
          <w:bCs/>
          <w:sz w:val="32"/>
        </w:rPr>
        <w:t xml:space="preserve">安全评价方（乙方）:                                     </w:t>
      </w:r>
    </w:p>
    <w:p>
      <w:pPr>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sz w:val="24"/>
        </w:rPr>
        <w:sectPr>
          <w:type w:val="continuous"/>
          <w:pgSz w:w="11906" w:h="16838"/>
          <w:pgMar w:top="975" w:right="1042" w:bottom="964" w:left="1552" w:header="851" w:footer="596" w:gutter="0"/>
          <w:cols w:space="720" w:num="1"/>
          <w:docGrid w:type="linesAndChars" w:linePitch="297" w:charSpace="-3337"/>
        </w:sectPr>
      </w:pPr>
    </w:p>
    <w:p>
      <w:pPr>
        <w:spacing w:line="560" w:lineRule="exact"/>
        <w:ind w:firstLine="448" w:firstLineChars="200"/>
        <w:rPr>
          <w:rFonts w:hint="eastAsia" w:ascii="宋体" w:hAnsi="宋体" w:eastAsia="宋体" w:cs="宋体"/>
          <w:sz w:val="24"/>
        </w:rPr>
      </w:pP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委 托 方（甲方）:  湛江诚通物流有限公司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统一社会信用代码：</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法定代表人：</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住所地：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安全评价方（乙方）: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统一社会信用代码：</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法定代表人：</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住所地：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为了促进双方的友好合作，认真履行各项义务，根据《中华人民共和国民法典》和其他法律法规的规定，经过协商，双方在平等、自愿的基础上，达成一致并签订本合同。</w:t>
      </w:r>
    </w:p>
    <w:p>
      <w:pPr>
        <w:spacing w:line="560" w:lineRule="exact"/>
        <w:ind w:firstLine="448" w:firstLineChars="200"/>
        <w:rPr>
          <w:rFonts w:hint="eastAsia" w:ascii="宋体" w:hAnsi="宋体" w:eastAsia="宋体" w:cs="宋体"/>
          <w:sz w:val="24"/>
        </w:rPr>
      </w:pPr>
      <w:r>
        <w:rPr>
          <w:rFonts w:hint="eastAsia" w:ascii="宋体" w:hAnsi="宋体" w:eastAsia="宋体" w:cs="宋体"/>
          <w:b/>
          <w:bCs/>
          <w:sz w:val="24"/>
        </w:rPr>
        <w:t>一、项目名称：</w:t>
      </w:r>
      <w:r>
        <w:rPr>
          <w:rFonts w:hint="eastAsia" w:ascii="宋体" w:hAnsi="宋体" w:eastAsia="宋体" w:cs="宋体"/>
          <w:sz w:val="24"/>
        </w:rPr>
        <w:t>湛江诚通综合物流园（二期）项目（以下简称本项目）安全设施“三同时”（安全验收评价）项目。</w:t>
      </w:r>
    </w:p>
    <w:p>
      <w:pPr>
        <w:spacing w:line="560" w:lineRule="exact"/>
        <w:ind w:firstLine="448" w:firstLineChars="200"/>
        <w:rPr>
          <w:rFonts w:hint="eastAsia" w:ascii="宋体" w:hAnsi="宋体" w:eastAsia="宋体" w:cs="宋体"/>
          <w:sz w:val="24"/>
        </w:rPr>
      </w:pPr>
      <w:r>
        <w:rPr>
          <w:rFonts w:hint="eastAsia" w:ascii="宋体" w:hAnsi="宋体" w:eastAsia="宋体" w:cs="宋体"/>
          <w:b/>
          <w:bCs/>
          <w:sz w:val="24"/>
        </w:rPr>
        <w:t>二、项目概况：</w:t>
      </w:r>
      <w:r>
        <w:rPr>
          <w:rFonts w:hint="eastAsia" w:ascii="宋体" w:hAnsi="宋体" w:eastAsia="宋体" w:cs="宋体"/>
          <w:sz w:val="24"/>
        </w:rPr>
        <w:t>本项目主要功能为物流仓库，属于续建工程，二期项目建筑总面积约为38441.00m2。项目建设内容包括但不限于：6#和7#标准仓库（丙二类），建筑面积约19890平方米，层数为一层；8#和9#标准仓库（丙一类），建筑面积约18300平方米，层数为一层；及设备用房、门卫等配套建筑物。</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三、合同文件内容及解释顺序</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构成本合同的文件可视为是能互相说明的，如果合同文件存在歧义或不一致，则根据如下优先次序来判断：</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1.本合同协议书。</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2.成交通知书。</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3.询比价文件及答疑等附件。</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4.响应文件及其附件。</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5.技术标准和要求。</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6．双方认可的往来传真、电报、会议纪要等。</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以上各文件均为合同的组成部分，与本合同协议书具有同等法律效力。</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四、服务内容、服务期限及工期</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1.服务内容：</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（1）准备阶段：乙方根据甲方对安全设施“三同时”（安全验收评价）服务工作要求自行完成项目现场勘测审查，安全竣工验收文件审查，进行现场符合性安全评价。</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（2）安全评价分析：对危险、有害因素辨识分析，对安全评价单元划分，对危险源辨识与评价分析，对风险评价与控制分析，对定性定量评价与危险分级，对安全设施检查结果分析。</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（3）对策与措施：对项目总体工艺和设备、装置方面，安全工程</w:t>
      </w:r>
      <w:bookmarkStart w:id="43" w:name="_GoBack"/>
      <w:bookmarkEnd w:id="43"/>
      <w:r>
        <w:rPr>
          <w:rFonts w:hint="eastAsia" w:ascii="宋体" w:hAnsi="宋体" w:eastAsia="宋体" w:cs="宋体"/>
          <w:sz w:val="24"/>
        </w:rPr>
        <w:t>设施方面，安全管理方面及其他方面基于上述安全分析提供相应对策及综合措施。</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（4）报告编制及审核：编制安全验收评价报告、组织并通过甲方及甲方上级单位审核。</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2.服务期限：合同签订之日起至完成所有安全设施“三同时”安全验收评价咨询服务工作、出具相应安全设施“三同时”（安全验收评价）咨询服务成果报告并经甲方书面确认之日止。</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乙方须积极配合甲方完成安全生产监督管理部门的相关安全验收评价抽查工作，若乙方所提交的成果报告在抽查阶段未得到政府主管部门的认可，乙方应按本合同第九条违约责任第3款承担赔偿责任。</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3.工期要求：当甲方按照乙方的要求将资料提供齐全，并完成现场整改后，在建设项目竣工验收阶段30个日历日内编制完善安全验收评价报告。</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五、合同金额及其付款方式：</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1.合同价款：</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本合同包干合同额包括乙方履行完毕本合同范围内的安全验收评价服务义务甲方所需支付的全部费用，为_________元（大写：人民币____________ )，其中不含税金额__________元，增值税率为</w:t>
      </w:r>
      <w:r>
        <w:rPr>
          <w:rFonts w:hint="eastAsia" w:ascii="宋体" w:hAnsi="宋体" w:eastAsia="宋体" w:cs="宋体"/>
          <w:sz w:val="24"/>
          <w:u w:val="single"/>
        </w:rPr>
        <w:t xml:space="preserve">    </w:t>
      </w:r>
      <w:r>
        <w:rPr>
          <w:rFonts w:hint="eastAsia" w:ascii="宋体" w:hAnsi="宋体" w:eastAsia="宋体" w:cs="宋体"/>
          <w:sz w:val="24"/>
        </w:rPr>
        <w:t>%，税金</w:t>
      </w:r>
      <w:r>
        <w:rPr>
          <w:rFonts w:hint="eastAsia" w:ascii="宋体" w:hAnsi="宋体" w:eastAsia="宋体" w:cs="宋体"/>
          <w:sz w:val="24"/>
          <w:u w:val="single"/>
        </w:rPr>
        <w:t xml:space="preserve">       </w:t>
      </w:r>
      <w:r>
        <w:rPr>
          <w:rFonts w:hint="eastAsia" w:ascii="宋体" w:hAnsi="宋体" w:eastAsia="宋体" w:cs="宋体"/>
          <w:sz w:val="24"/>
        </w:rPr>
        <w:t>元，如本合同履行期间遇国家税率调整的，不含税金额固定不变，税率及税金根据政策调整。</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2.付款方式：</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w:t>
      </w:r>
      <w:bookmarkStart w:id="0" w:name="_Hlk180147549"/>
      <w:r>
        <w:rPr>
          <w:rFonts w:hint="eastAsia" w:ascii="宋体" w:hAnsi="宋体" w:eastAsia="宋体" w:cs="宋体"/>
          <w:sz w:val="24"/>
        </w:rPr>
        <w:t>《安全验收评价报告》通过甲方及甲方上级单位审核后，乙方将经甲方确认的报告终稿纸质版及电子版交付甲方。甲方在收到报告终稿纸质版及电子版，并收到乙方开具的等额增值税专用发票后30个日历日内向乙方一次性100%结清合同价款。</w:t>
      </w:r>
      <w:bookmarkEnd w:id="0"/>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（2）合同约定的服务工作内容范围内，服务费用不因乙方工作内容或工作量的增加而发生变化（包括按照甲方的要求对工作成果进行修改和调整）。</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（3）甲方有权在应付未付款项中扣除乙方应承担的费用（包括但不限于违约金、赔偿金等）后再予支付；应付未付款项不足以抵扣时，甲方有权向乙方追偿。</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（4）甲方有权要求乙方提供费用详细的清单。</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3.乙方收款账户信息：</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开户名称：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开户银行：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银行账号：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4.除本合同其他约定外，甲方有权在以下情况发生当期起不予支付款项，直至乙方整改完毕至符合本合同约定后再行支付，延付期间甲方不承担任何利息及违约责任，且乙方需对其违约行为承担违约责任：</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（1）乙方未按本合同约定履行义务或履行义务不完全的。</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（2）甲方对乙方工作提出合理意见整改时，乙方拒不执行。</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（3）乙方未在提出每期付款请求前提供足额正确有效税务发票。</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六、成果文件验收标准及要求</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符合中华人民共和国、广东省、湛江市相关部门所制定的安全设施“三同时”（安全验收评价）服务规范及相关法规政策，包括但不限于《中华人民共和国安全生产法》《建设项目安全设施“三同时”监督管理办法》、《广东省安全生产条例》、《广东省应急管理厅关于加强安全评价机构监督管理工作的通知》。</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符合甲方及甲方上级单位关于安全验收评价报告相关业务操作的规章制度和规范要求。如果甲方及甲方上级单位标准和国家、行业标准存在不一致，应当以要求较高的标准为准；如果均未设定标准，则应当按照符合实践惯例的标准进行验收。</w:t>
      </w:r>
    </w:p>
    <w:p>
      <w:pPr>
        <w:pStyle w:val="3"/>
        <w:ind w:firstLine="448" w:firstLineChars="200"/>
        <w:rPr>
          <w:rFonts w:hint="eastAsia" w:ascii="宋体" w:hAnsi="宋体" w:eastAsia="宋体" w:cs="宋体"/>
          <w:sz w:val="24"/>
        </w:rPr>
      </w:pPr>
      <w:r>
        <w:rPr>
          <w:rFonts w:hint="eastAsia" w:ascii="宋体" w:hAnsi="宋体" w:eastAsia="宋体" w:cs="宋体"/>
          <w:sz w:val="24"/>
        </w:rPr>
        <w:t>3.《安全验收评价评价报告》应包括以下内容：建设项目内在的危险、有害因素对建设项目周边单位生产、经营活动或者居民生活的影响；建设项目周边单位生产、经营活动或者居民生活对建设项目的影响；当地自然条件对建设项目的影响；项目是否符合当地规划要求。</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乙方应向甲方提交项目《安全验收评价报告》纸质版本一式八份、电子版本一份。</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七、甲方权利与义务</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1.若乙方人员不满足甲方要求，甲方有权要求乙方更换相关人员，更换人员资历不能低于被替换人员，直至达到甲方认可为止，乙方需无条件配合，由此造成的各种损失由乙方负责。</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2.如发现乙方相关人员职业道德有问题，出现用不正当手段损害甲方利益的情况，甲方有终止合同的权利，由此造成的各种损失完全由乙方负责，同时甲方保留法律诉讼的权利。</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3.合同期间，若乙方总体服务不满足甲方要求，甲方有权终止合同，结算费用双方协商确定。</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4.督促及核查乙方工作进度，对乙方的工作予以评价。</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5.按照合同约定向乙方支付合同服务费用，甲方向乙方发出的对合同内已规定的工作做进一步的详细说明或澄清的指示不视为增加乙方工作内容，无需支付额外费用。</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6.甲方授权本咨询业务的代表</w:t>
      </w:r>
      <w:r>
        <w:rPr>
          <w:rFonts w:hint="eastAsia" w:ascii="宋体" w:hAnsi="宋体" w:eastAsia="宋体" w:cs="宋体"/>
          <w:sz w:val="24"/>
          <w:u w:val="single"/>
        </w:rPr>
        <w:t xml:space="preserve">       </w:t>
      </w:r>
      <w:r>
        <w:rPr>
          <w:rFonts w:hint="eastAsia" w:ascii="宋体" w:hAnsi="宋体" w:eastAsia="宋体" w:cs="宋体"/>
          <w:sz w:val="24"/>
        </w:rPr>
        <w:t>，负责与乙方联系（包括但不限于明确工作目标和范围、协调资料收集以及其他相关事宜），及时与乙方项目经理共享其所知悉的项目最新情况，并与乙方项目经理沟通工作重点方向及问题。</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7.甲方有权要求乙方在项目实施过程中定期提交工作进展报告，报告内容包括但不限于已完成的工作内容、发现的问题、解决方案以及下一阶段工作计划。</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8.甲方根据法律规定或合同约定单方解除本合同时，有权不予支付任何合同费用。</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八、乙方权利与义务</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承诺并保证，乙方及其委派人员具备履行本合同项下义务所需的资质及证照，对工作成果负责，且在履行本合同义务时必须符合有关法律、法规、规章和国家标准或者行业标准、技术规范的规定，并尽可能采用先进适用的工艺、技术和可靠的设备、设施，提出安全对策措施。</w:t>
      </w:r>
    </w:p>
    <w:p>
      <w:pPr>
        <w:numPr>
          <w:ilvl w:val="255"/>
          <w:numId w:val="0"/>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乙方委派</w:t>
      </w:r>
      <w:r>
        <w:rPr>
          <w:rFonts w:hint="eastAsia" w:ascii="宋体" w:hAnsi="宋体" w:eastAsia="宋体" w:cs="宋体"/>
          <w:sz w:val="24"/>
          <w:u w:val="single"/>
        </w:rPr>
        <w:t xml:space="preserve">      </w:t>
      </w:r>
      <w:r>
        <w:rPr>
          <w:rFonts w:hint="eastAsia" w:ascii="宋体" w:hAnsi="宋体" w:eastAsia="宋体" w:cs="宋体"/>
          <w:sz w:val="24"/>
        </w:rPr>
        <w:t>担任项目经理，与甲方直接对接，具体负责乙方工作的管理与执行，并有权代表乙方与甲方就本合同内容变更及合同终止等相关实质事宜进行协商并签署补充协议或其他相关文件。</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按照国家现行的标准、规范、规程以及技术要求，且符合合同及其附件约定的方法、程序、技术、人员和资料等标准向甲方提供安全设施“三同时”（安全验收评价）服务，编制并提交工作大纲及相关报告，并有针对性的对各工点具体评价工程数量进行核实，评价工程数量必须符合相应规范要求。</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相关服务及提交的成果文件如不满足合同及甲方的要求，乙方应无偿在甲方要求的期限内完成整改。工作完成后，乙方应于【15】日内将完整资料归还甲方；若资料遗失或损坏的，乙方应向甲方支付违约金【2000】元，并赔偿由此造成的甲方损失。</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其他项目组成员由项目经理推选具有所需工作水平及资质的专业人员，由甲方书面认可后组成项目组。乙方项目经理及项目组成人员须具备相关行政主管部门核发的相关安全设施“三同时”（安全验收评价）安全评价执业资格，具备相关类似项目安全评价经验。变更人员需经甲方同意，在经得甲方同意后的3个日历天内完成人员更换。若出现冒名顶替、弄虚作假，乙方应按合同额30%向甲方支付违约金；若造成甲方损失的，乙方应承担赔偿责任。乙方应负责乙方委派人员的人身安全。</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未经甲方书面同意，乙方不得擅自对项目服务内容作出改变。</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关键工作节点乙方有义务通知甲方人员进行参与。</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乙方应到该工程现场收取试样和材料见证取样，不得委托其他人员送样，不得与其它单位在本工程中发生经济活动，否则乙方应向甲方支付违约金【2000】元，造成的一切后果及损失由乙方承担及赔偿。</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未经甲方书面同意，乙方不得将本合同所约定的内容全部或者部分转包给第三方。</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对甲方提供的资料、信息以及乙方为完成本合同所收集的资料，乙方应予严格保密，不得提供任何第三方使用或用于其他未经甲方许可的用途或牟利；否则，甲方有权单方解除本合同，乙方应向甲方支付违约金10000元/次；如造成甲方其他损失的，乙方应承担赔偿责任。</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如在甲方后续按照报告内容实施项目过程中被政府主管部门要求对项目进行深入分析及补充说明的，乙方有义务在甲方要求的期限内积极配合甲方进行解释及说明。</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因乙方工作成果问题导致甲方需要追加投资或造成其他损失的，乙方应承担赔偿责任。</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乙方承诺并保证履行本合同义务过程中，不侵害甲方或任何第三方的知识产权，否则甲方有权单方解除本合同，乙方应按每处</w:t>
      </w:r>
      <w:r>
        <w:rPr>
          <w:rFonts w:ascii="宋体" w:hAnsi="宋体" w:eastAsia="宋体" w:cs="宋体"/>
          <w:sz w:val="24"/>
        </w:rPr>
        <w:t>/</w:t>
      </w:r>
      <w:r>
        <w:rPr>
          <w:rFonts w:hint="eastAsia" w:ascii="宋体" w:hAnsi="宋体" w:eastAsia="宋体" w:cs="宋体"/>
          <w:sz w:val="24"/>
        </w:rPr>
        <w:t>次向甲方支付违约金【2000】元，造成的一切后果及损失由乙方承担及赔偿。</w:t>
      </w:r>
    </w:p>
    <w:p>
      <w:pPr>
        <w:numPr>
          <w:ilvl w:val="0"/>
          <w:numId w:val="1"/>
        </w:numPr>
        <w:spacing w:line="560" w:lineRule="exact"/>
        <w:ind w:firstLine="448" w:firstLineChars="200"/>
        <w:rPr>
          <w:rFonts w:hint="eastAsia" w:ascii="宋体" w:hAnsi="宋体" w:eastAsia="宋体" w:cs="宋体"/>
          <w:sz w:val="24"/>
        </w:rPr>
      </w:pPr>
      <w:r>
        <w:rPr>
          <w:rFonts w:hint="eastAsia" w:ascii="宋体" w:hAnsi="宋体" w:eastAsia="宋体" w:cs="宋体"/>
          <w:sz w:val="24"/>
        </w:rPr>
        <w:t>由于乙方提供的工作成果质量不合格，乙方应负责无偿给予补充完善使其达到质量合格并经甲方书面确认。若乙方在甲方通知的期限内未能补充完善，甲方有权委托其他单位，乙方应承担全部费用。如因乙方工作成果问题造成经济损失或工程质量事故或无法投产使用时，乙方除应负全部法律责任、采取无偿补救措施和免收直接受损失部分的服务费外，还应根据损失程度向甲方支付赔偿金，赔偿金由双方商定为损失的130%。损失包括但不限于甲方直接及间接经济损失、甲方预期利益、甲方委托第三方履行本合同义务所发生的费用、甲方对第三方承担的费用（包括但不限于违约金、赔偿金、罚款、税费、滞纳金等）、甲方为维护自身合法权益所发生的费用（包括但不限于仲裁费、诉讼费、保全费、保全担保费、公告费、公证费、鉴定费、评估费、调查费、邮寄费、专家费、律师费、差旅费等）等。</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九、违约责任</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如果甲方无正当理由而未能按本合同规定按期支付乙方合同款项，每迟付一日甲方应按照延期支付期间同期贷款市场报价利率向乙方支付相应的违约金，但无论如何甲方承担的违约金的金额累计不得超过甲方应付未付款金额的30%。</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未能按甲方约定的日期进场开展安全验收评价工作或未能按合同约定提供合格工作成果时，每逾期一日按合同总价的0.5%应向甲方支付违约金；逾期达15日，甲方有权单方解除本合同，并要求乙方支付合同总价款30%的违约金，且不予承担任何责任；如造成甲方损失的，乙方还应当予以赔偿。</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若乙方所提交的成果报告在抽查阶段未得到政府主管部门的认可，乙方应另行向甲方支付违约金【</w:t>
      </w:r>
      <w:r>
        <w:rPr>
          <w:rFonts w:hint="eastAsia" w:ascii="宋体" w:hAnsi="宋体" w:eastAsia="宋体" w:cs="宋体"/>
          <w:sz w:val="24"/>
          <w:u w:val="single"/>
        </w:rPr>
        <w:t>10000】元；乙方成果报告未通过</w:t>
      </w:r>
      <w:r>
        <w:rPr>
          <w:rFonts w:hint="eastAsia" w:ascii="宋体" w:hAnsi="宋体" w:eastAsia="宋体" w:cs="宋体"/>
          <w:sz w:val="24"/>
        </w:rPr>
        <w:t>政府主管部门审核，导致甲方无法投产使用，乙方应向甲方支付违约金【10000】元；若造成甲方其他损失的，乙方应承担赔偿责任。乙方应就所提供的工作成果按照甲方要求进行无偿返工或者采取补救措施加以完善，同时不得影响原项目计划工作进度，否则甲方有权根据本合同的约定追究乙方逾期完工违约责任。乙方所提交的工作成果经二次修改完善后仍未能通过甲方验收的，甲方有权不予支付合同款项并解除本合同，乙方应按照合同总价款的30%支付违约金。</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如果乙方存在如下违约情形，乙方应当退还甲方已经支付的全部款项并按照合同总价款的30%向甲方支付违约金；乙方给甲方造成损失的，乙方还应补偿甲方的所有损失；甲方有权解除合同且不支付乙方任何费用：</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（1）乙方所提交工作成果不符合甲方需求及成果标准，且经甲方通知拒绝对工作成果进行修正或怠于对工作成果进行修正的，导致未能按期提交符合约定的成果或对甲方造成损失或不利影响的。</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（2）乙方未尽职履行本合同项下服务的义务，以编造或者其他方式将错误的内容写入正式成果报告，对甲方后续工作造成误导或者损失的。</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（3）乙方违反本合同约定或者拒不履行合同义务，经甲方通知在要求的期限内仍拒不纠正或者纠正不符合要求的。</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（4）其他因乙方原因导致甲方遭受损失或不利影响的。</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乙方未按甲方确定的项目组人员名单安排相关人员时，按每人次【2000】元向甲方支付违约金；如违约累计5人次以上，甲方有权单方解除本合同。</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乙方擅自转包或分包本合同标的的，应向甲方支付违约金 50000元，并在甲方限期内完成整改；乙方拒不整改或整改仍不符合甲方要求的，甲方有权单方解除本合同且不予支付合同款项，乙方应按合同总价的30%向甲方支付违约金；若造成甲方其他损失的，乙方应承担赔偿责任。</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对其提供的安全验收评价工作成果承担责任，由于乙方工作成果造成的一切不利后果及损失，由乙方负责承担及赔偿；若造成甲方损失的，乙方应承担赔偿责任；乙方还应按所造成损失的30%另行向甲方支付违约金。</w:t>
      </w:r>
    </w:p>
    <w:p>
      <w:pPr>
        <w:numPr>
          <w:ilvl w:val="0"/>
          <w:numId w:val="2"/>
        </w:numPr>
        <w:spacing w:line="560" w:lineRule="exact"/>
        <w:ind w:firstLine="448" w:firstLineChars="200"/>
        <w:rPr>
          <w:rFonts w:hint="eastAsia" w:ascii="宋体" w:hAnsi="宋体" w:eastAsia="宋体" w:cs="宋体"/>
          <w:sz w:val="24"/>
        </w:rPr>
      </w:pPr>
      <w:r>
        <w:rPr>
          <w:rFonts w:hint="eastAsia" w:ascii="宋体" w:hAnsi="宋体" w:eastAsia="宋体" w:cs="宋体"/>
          <w:sz w:val="24"/>
        </w:rPr>
        <w:t>甲方依据合同约定或法律法规规定单方解除合同的，乙方应自合同解除之日起【30】日内返还甲方已付的全部款项。乙方逾期返还前述费用的，每逾期一日则以未返还金额为本金，按合同解除之日的贷款市场报价利率（LPR）向甲方支付资金占用损失。</w:t>
      </w:r>
    </w:p>
    <w:p>
      <w:pPr>
        <w:spacing w:line="560" w:lineRule="exact"/>
        <w:ind w:firstLine="448" w:firstLineChars="200"/>
        <w:rPr>
          <w:rFonts w:hint="eastAsia" w:ascii="宋体" w:hAnsi="宋体" w:eastAsia="宋体" w:cs="宋体"/>
          <w:sz w:val="24"/>
        </w:rPr>
      </w:pPr>
      <w:bookmarkStart w:id="1" w:name="_Toc32556"/>
      <w:bookmarkStart w:id="2" w:name="_Toc20253"/>
      <w:r>
        <w:rPr>
          <w:rFonts w:hint="eastAsia" w:ascii="宋体" w:hAnsi="宋体" w:eastAsia="宋体" w:cs="宋体"/>
          <w:b/>
          <w:bCs/>
          <w:sz w:val="24"/>
        </w:rPr>
        <w:t>十、双方联系人及联系方式</w:t>
      </w:r>
      <w:bookmarkEnd w:id="1"/>
      <w:bookmarkEnd w:id="2"/>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（1）甲方联系人</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姓    名：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职    务：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电子信箱：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地    址：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（2）乙方联系人</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姓    名：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职    务：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联系电话：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电子信箱：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 xml:space="preserve">地    址：                  </w:t>
      </w:r>
    </w:p>
    <w:p>
      <w:pPr>
        <w:spacing w:line="560" w:lineRule="exact"/>
        <w:ind w:firstLine="448" w:firstLineChars="200"/>
        <w:rPr>
          <w:rFonts w:hint="eastAsia" w:ascii="宋体" w:hAnsi="宋体" w:eastAsia="宋体" w:cs="宋体"/>
          <w:b/>
          <w:bCs/>
          <w:sz w:val="24"/>
        </w:rPr>
      </w:pPr>
      <w:bookmarkStart w:id="3" w:name="_Toc10062"/>
      <w:bookmarkStart w:id="4" w:name="_Toc25181"/>
      <w:r>
        <w:rPr>
          <w:rFonts w:hint="eastAsia" w:ascii="宋体" w:hAnsi="宋体" w:eastAsia="宋体" w:cs="宋体"/>
          <w:b/>
          <w:bCs/>
          <w:sz w:val="24"/>
        </w:rPr>
        <w:t>十一、 通知与送达</w:t>
      </w:r>
      <w:bookmarkEnd w:id="3"/>
      <w:bookmarkEnd w:id="4"/>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1.本合同项下各项文件的送达，均应采取书面方式。</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2.双方一致确认，如未按本条约定的联系方式为双方确定的、有效的。如任何一方欲变更前述情况，须于该变更确定之日书面通知对方，否则该方不得以未收到为由提出抗辩。</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3.双方应当在3天内将与合同有关的通知、批准、证明、证书、指示、指令、要求、请求、同意、意见、确定和决定等书面函件送达对方联系人。</w:t>
      </w:r>
    </w:p>
    <w:p>
      <w:pPr>
        <w:spacing w:line="560" w:lineRule="exact"/>
        <w:ind w:firstLine="448" w:firstLineChars="200"/>
        <w:rPr>
          <w:rFonts w:hint="eastAsia" w:ascii="宋体" w:hAnsi="宋体" w:eastAsia="宋体" w:cs="宋体"/>
          <w:sz w:val="24"/>
        </w:rPr>
      </w:pPr>
      <w:bookmarkStart w:id="5" w:name="_Toc419045124"/>
      <w:bookmarkStart w:id="6" w:name="_Toc16265"/>
      <w:bookmarkStart w:id="7" w:name="_Toc17951"/>
      <w:bookmarkStart w:id="8" w:name="_Toc1935"/>
      <w:bookmarkStart w:id="9" w:name="_Toc29336"/>
      <w:r>
        <w:rPr>
          <w:rFonts w:hint="eastAsia" w:ascii="宋体" w:hAnsi="宋体" w:eastAsia="宋体" w:cs="宋体"/>
          <w:b/>
          <w:bCs/>
          <w:sz w:val="24"/>
        </w:rPr>
        <w:t>十二、 知识产权</w:t>
      </w:r>
      <w:bookmarkEnd w:id="5"/>
      <w:bookmarkEnd w:id="6"/>
      <w:bookmarkEnd w:id="7"/>
      <w:bookmarkEnd w:id="8"/>
      <w:bookmarkEnd w:id="9"/>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甲方提供给乙方的图纸、甲方为实施工程自行编制或委托编制的技术规范以及反映甲方要求的或其他类似性质文件的著作权属于甲方。</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乙方为履行本合同约定而编制的成果文件，其著作权属于甲方。</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双方将履行本合同形成的有关成果文件用于企业宣传、申报奖项以及接受上级主管部门的检查须遵守以下约定：</w:t>
      </w:r>
      <w:bookmarkStart w:id="10" w:name="_Toc422322556"/>
      <w:bookmarkStart w:id="11" w:name="_Toc419045125"/>
      <w:r>
        <w:rPr>
          <w:rFonts w:hint="eastAsia" w:ascii="宋体" w:hAnsi="宋体" w:eastAsia="宋体" w:cs="宋体"/>
          <w:sz w:val="24"/>
        </w:rPr>
        <w:t xml:space="preserve"> 经甲方书面同意_。</w:t>
      </w:r>
    </w:p>
    <w:p>
      <w:pPr>
        <w:spacing w:line="560" w:lineRule="exact"/>
        <w:ind w:firstLine="448" w:firstLineChars="200"/>
        <w:rPr>
          <w:rFonts w:hint="eastAsia" w:ascii="宋体" w:hAnsi="宋体" w:eastAsia="宋体" w:cs="宋体"/>
          <w:sz w:val="24"/>
        </w:rPr>
      </w:pPr>
      <w:bookmarkStart w:id="12" w:name="_Toc4123"/>
      <w:bookmarkStart w:id="13" w:name="_Toc27220"/>
      <w:r>
        <w:rPr>
          <w:rFonts w:hint="eastAsia" w:ascii="宋体" w:hAnsi="宋体" w:eastAsia="宋体" w:cs="宋体"/>
          <w:sz w:val="24"/>
        </w:rPr>
        <w:t>乙方在履行合同过程中所使用的任何技术、方法、数据等均不得侵犯第三方知识产权，否则甲方有权单方解除本合同，乙方应按每处</w:t>
      </w:r>
      <w:r>
        <w:rPr>
          <w:rFonts w:ascii="宋体" w:hAnsi="宋体" w:eastAsia="宋体" w:cs="宋体"/>
          <w:sz w:val="24"/>
        </w:rPr>
        <w:t>/</w:t>
      </w:r>
      <w:r>
        <w:rPr>
          <w:rFonts w:hint="eastAsia" w:ascii="宋体" w:hAnsi="宋体" w:eastAsia="宋体" w:cs="宋体"/>
          <w:sz w:val="24"/>
        </w:rPr>
        <w:t>次向甲方支付违约金【2000】元，并应承担全部法律责任并赔偿甲方的损失。</w:t>
      </w:r>
    </w:p>
    <w:p>
      <w:pPr>
        <w:spacing w:line="560" w:lineRule="exact"/>
        <w:ind w:firstLine="448" w:firstLineChars="200"/>
        <w:rPr>
          <w:rFonts w:hint="eastAsia" w:ascii="宋体" w:hAnsi="宋体" w:eastAsia="宋体" w:cs="宋体"/>
          <w:b/>
          <w:bCs/>
          <w:sz w:val="24"/>
        </w:rPr>
      </w:pPr>
      <w:r>
        <w:rPr>
          <w:rFonts w:hint="eastAsia" w:ascii="宋体" w:hAnsi="宋体" w:eastAsia="宋体" w:cs="宋体"/>
          <w:b/>
          <w:bCs/>
          <w:sz w:val="24"/>
        </w:rPr>
        <w:t>十三、 保密条款</w:t>
      </w:r>
      <w:bookmarkEnd w:id="12"/>
      <w:bookmarkEnd w:id="13"/>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双方对本服务事项而签署的合同及相关资料、项目成果以及项目推进中知悉的项目信息、对方经营信息等承担保密义务。未经对方同意，不得将本合同内容、项目相关信息、甲方信息资料向任何第三方披露，但已经为公众所知晓的信息以及需要依照法律、行政规定需要披露的除外。</w:t>
      </w:r>
    </w:p>
    <w:p>
      <w:pPr>
        <w:spacing w:line="560" w:lineRule="exact"/>
        <w:ind w:firstLine="448" w:firstLineChars="200"/>
        <w:rPr>
          <w:rStyle w:val="11"/>
        </w:rPr>
      </w:pPr>
      <w:r>
        <w:rPr>
          <w:rFonts w:hint="eastAsia" w:ascii="宋体" w:hAnsi="宋体" w:eastAsia="宋体" w:cs="宋体"/>
          <w:sz w:val="24"/>
        </w:rPr>
        <w:t>2.本条款的使用不因本合同的终止而失效，效力至保密信息成为公开信息之日止。</w:t>
      </w:r>
    </w:p>
    <w:p>
      <w:pPr>
        <w:spacing w:line="560" w:lineRule="exact"/>
        <w:ind w:firstLine="448" w:firstLineChars="200"/>
        <w:rPr>
          <w:rStyle w:val="11"/>
        </w:rPr>
      </w:pPr>
      <w:r>
        <w:rPr>
          <w:rFonts w:ascii="宋体" w:hAnsi="宋体" w:eastAsia="宋体" w:cs="宋体"/>
          <w:sz w:val="24"/>
        </w:rPr>
        <w:t>3.</w:t>
      </w:r>
      <w:r>
        <w:rPr>
          <w:rFonts w:hint="eastAsia" w:ascii="宋体" w:hAnsi="宋体" w:eastAsia="宋体" w:cs="宋体"/>
          <w:sz w:val="24"/>
        </w:rPr>
        <w:t>乙方违反保密约定，甲方有权单方解除本合同，乙方应向甲方支付违约金10000元/次；如造成甲方其他损失的，乙方应承担赔偿责任。</w:t>
      </w:r>
    </w:p>
    <w:p>
      <w:pPr>
        <w:spacing w:line="560" w:lineRule="exact"/>
        <w:ind w:firstLine="448" w:firstLineChars="200"/>
        <w:rPr>
          <w:rFonts w:hint="eastAsia" w:ascii="宋体" w:hAnsi="宋体" w:eastAsia="宋体" w:cs="宋体"/>
          <w:b/>
          <w:bCs/>
          <w:sz w:val="24"/>
        </w:rPr>
      </w:pPr>
      <w:bookmarkStart w:id="14" w:name="_Toc6687"/>
      <w:bookmarkStart w:id="15" w:name="_Toc15720"/>
      <w:r>
        <w:rPr>
          <w:rFonts w:hint="eastAsia" w:ascii="宋体" w:hAnsi="宋体" w:eastAsia="宋体" w:cs="宋体"/>
          <w:b/>
          <w:bCs/>
          <w:sz w:val="24"/>
        </w:rPr>
        <w:t>十四、 不可抗力</w:t>
      </w:r>
      <w:bookmarkEnd w:id="14"/>
      <w:bookmarkEnd w:id="15"/>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1.发生不可抗力事件，由于合同目的无法实现或导致一方无法履行本合同，则遭受不可抗力的一方在不可抗力发生后应及时告知对方，并在不可抗力发生后的7个工作日向对方提供不可抗力的官方证明。</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不可抗力情形消失后，除继续履行本合同（除已不可能或失去意义外），遭受不可抗力的一方应及时恢复履行其在本协议项下的义务；或在双方协商一致的基础上决定是否延期履行、部分履行本合同或终止、解除本合同。</w:t>
      </w:r>
    </w:p>
    <w:p>
      <w:pPr>
        <w:spacing w:line="560" w:lineRule="exact"/>
        <w:ind w:firstLine="448" w:firstLineChars="200"/>
        <w:rPr>
          <w:rFonts w:hint="eastAsia" w:ascii="宋体" w:hAnsi="宋体" w:eastAsia="宋体" w:cs="宋体"/>
          <w:b/>
          <w:bCs/>
          <w:sz w:val="24"/>
        </w:rPr>
      </w:pPr>
      <w:bookmarkStart w:id="16" w:name="_Toc15028"/>
      <w:bookmarkStart w:id="17" w:name="_Toc29270"/>
      <w:r>
        <w:rPr>
          <w:rFonts w:hint="eastAsia" w:ascii="宋体" w:hAnsi="宋体" w:eastAsia="宋体" w:cs="宋体"/>
          <w:b/>
          <w:bCs/>
          <w:sz w:val="24"/>
        </w:rPr>
        <w:t>十五、 合同变更与终止</w:t>
      </w:r>
      <w:bookmarkEnd w:id="16"/>
      <w:bookmarkEnd w:id="17"/>
    </w:p>
    <w:bookmarkEnd w:id="10"/>
    <w:bookmarkEnd w:id="11"/>
    <w:p>
      <w:pPr>
        <w:spacing w:line="560" w:lineRule="exact"/>
        <w:ind w:firstLine="448" w:firstLineChars="200"/>
        <w:rPr>
          <w:rFonts w:hint="eastAsia" w:ascii="宋体" w:hAnsi="宋体" w:eastAsia="宋体" w:cs="宋体"/>
          <w:sz w:val="24"/>
        </w:rPr>
      </w:pPr>
      <w:bookmarkStart w:id="18" w:name="_Toc172570459"/>
      <w:bookmarkStart w:id="19" w:name="_Toc14709"/>
      <w:bookmarkStart w:id="20" w:name="_Toc419045089"/>
      <w:bookmarkStart w:id="21" w:name="_Toc30181"/>
      <w:r>
        <w:rPr>
          <w:rFonts w:hint="eastAsia" w:ascii="宋体" w:hAnsi="宋体" w:eastAsia="宋体" w:cs="宋体"/>
          <w:sz w:val="24"/>
        </w:rPr>
        <w:t>1.合同变更</w:t>
      </w:r>
      <w:bookmarkEnd w:id="18"/>
      <w:bookmarkEnd w:id="19"/>
      <w:bookmarkEnd w:id="20"/>
      <w:bookmarkEnd w:id="21"/>
      <w:r>
        <w:rPr>
          <w:rFonts w:hint="eastAsia" w:ascii="宋体" w:hAnsi="宋体" w:eastAsia="宋体" w:cs="宋体"/>
          <w:sz w:val="24"/>
        </w:rPr>
        <w:t xml:space="preserve"> </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（1）任何一方以书面形式提出变更请求时，双方经协商一致后可进行变更。</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（2）对本合同作出的任何变更，应以书面形式作出并由双方授权代表签署后方为有效。</w:t>
      </w:r>
    </w:p>
    <w:p>
      <w:pPr>
        <w:spacing w:line="560" w:lineRule="exact"/>
        <w:ind w:firstLine="448" w:firstLineChars="200"/>
        <w:rPr>
          <w:rFonts w:hint="eastAsia" w:ascii="宋体" w:hAnsi="宋体" w:eastAsia="宋体" w:cs="宋体"/>
          <w:sz w:val="24"/>
        </w:rPr>
      </w:pPr>
      <w:bookmarkStart w:id="22" w:name="_Toc14486"/>
      <w:bookmarkStart w:id="23" w:name="_Toc172570461"/>
      <w:bookmarkStart w:id="24" w:name="_Toc19718"/>
      <w:r>
        <w:rPr>
          <w:rFonts w:hint="eastAsia" w:ascii="宋体" w:hAnsi="宋体" w:eastAsia="宋体" w:cs="宋体"/>
          <w:sz w:val="24"/>
        </w:rPr>
        <w:t>2.合同终止</w:t>
      </w:r>
      <w:bookmarkEnd w:id="22"/>
      <w:bookmarkEnd w:id="23"/>
    </w:p>
    <w:bookmarkEnd w:id="24"/>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除合同解除外，以下条件全部满足时，本合同终止：</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（1）乙方完成本合同约定的全部工作。</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（2）甲方与乙方结清并支付合同服务费用。</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（3）乙方将甲方提供的资料全部交还。</w:t>
      </w:r>
    </w:p>
    <w:p>
      <w:pPr>
        <w:spacing w:line="560" w:lineRule="exact"/>
        <w:ind w:firstLine="448" w:firstLineChars="200"/>
        <w:rPr>
          <w:rFonts w:hint="eastAsia" w:ascii="宋体" w:hAnsi="宋体" w:eastAsia="宋体" w:cs="宋体"/>
          <w:b/>
          <w:bCs/>
          <w:sz w:val="24"/>
        </w:rPr>
      </w:pPr>
      <w:bookmarkStart w:id="25" w:name="_Toc25894"/>
      <w:bookmarkStart w:id="26" w:name="_Toc27926"/>
      <w:r>
        <w:rPr>
          <w:rFonts w:hint="eastAsia" w:ascii="宋体" w:hAnsi="宋体" w:eastAsia="宋体" w:cs="宋体"/>
          <w:b/>
          <w:bCs/>
          <w:sz w:val="24"/>
        </w:rPr>
        <w:t>十六、 合同争议解决</w:t>
      </w:r>
      <w:bookmarkEnd w:id="25"/>
      <w:bookmarkEnd w:id="26"/>
    </w:p>
    <w:p>
      <w:pPr>
        <w:spacing w:line="560" w:lineRule="exact"/>
        <w:ind w:firstLine="448" w:firstLineChars="200"/>
        <w:rPr>
          <w:rFonts w:hint="eastAsia" w:ascii="宋体" w:hAnsi="宋体" w:eastAsia="宋体" w:cs="宋体"/>
          <w:sz w:val="24"/>
        </w:rPr>
      </w:pPr>
      <w:bookmarkStart w:id="27" w:name="_Toc17347"/>
      <w:bookmarkStart w:id="28" w:name="_Toc172570462"/>
      <w:bookmarkStart w:id="29" w:name="_Toc9901"/>
      <w:bookmarkStart w:id="30" w:name="_Toc419045122"/>
      <w:r>
        <w:rPr>
          <w:rFonts w:hint="eastAsia" w:ascii="宋体" w:hAnsi="宋体" w:eastAsia="宋体" w:cs="宋体"/>
          <w:sz w:val="24"/>
        </w:rPr>
        <w:t>1.协商</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本合同项下有关争议，甲乙双方应本着友好协商的态度协商解决。</w:t>
      </w:r>
    </w:p>
    <w:bookmarkEnd w:id="27"/>
    <w:bookmarkEnd w:id="28"/>
    <w:bookmarkEnd w:id="29"/>
    <w:bookmarkEnd w:id="30"/>
    <w:p>
      <w:pPr>
        <w:spacing w:line="560" w:lineRule="exact"/>
        <w:ind w:firstLine="448" w:firstLineChars="200"/>
        <w:rPr>
          <w:rFonts w:hint="eastAsia" w:ascii="宋体" w:hAnsi="宋体" w:eastAsia="宋体" w:cs="宋体"/>
          <w:sz w:val="24"/>
        </w:rPr>
      </w:pPr>
      <w:bookmarkStart w:id="31" w:name="_Toc172570463"/>
      <w:bookmarkStart w:id="32" w:name="_Toc20890"/>
      <w:bookmarkStart w:id="33" w:name="_Toc24700"/>
      <w:r>
        <w:rPr>
          <w:rFonts w:hint="eastAsia" w:ascii="宋体" w:hAnsi="宋体" w:eastAsia="宋体" w:cs="宋体"/>
          <w:sz w:val="24"/>
        </w:rPr>
        <w:t>2.仲裁或诉讼</w:t>
      </w:r>
      <w:bookmarkEnd w:id="31"/>
      <w:bookmarkEnd w:id="32"/>
      <w:bookmarkEnd w:id="33"/>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上述合同争议若协商不成，争议的最终解决方式为下列第</w:t>
      </w:r>
      <w:r>
        <w:rPr>
          <w:rFonts w:hint="eastAsia" w:ascii="宋体" w:hAnsi="宋体" w:eastAsia="宋体" w:cs="宋体"/>
          <w:sz w:val="24"/>
          <w:u w:val="single"/>
        </w:rPr>
        <w:t xml:space="preserve"> 2 </w:t>
      </w:r>
      <w:r>
        <w:rPr>
          <w:rFonts w:hint="eastAsia" w:ascii="宋体" w:hAnsi="宋体" w:eastAsia="宋体" w:cs="宋体"/>
          <w:sz w:val="24"/>
        </w:rPr>
        <w:t>种方式：</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（1）提请湛江仲裁委员会进行仲裁。</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（2）向 甲方住所地 人民法院提起诉讼。</w:t>
      </w:r>
    </w:p>
    <w:p>
      <w:pPr>
        <w:spacing w:line="560" w:lineRule="exact"/>
        <w:ind w:firstLine="448" w:firstLineChars="200"/>
        <w:rPr>
          <w:rFonts w:hint="eastAsia" w:ascii="宋体" w:hAnsi="宋体" w:eastAsia="宋体" w:cs="宋体"/>
          <w:sz w:val="24"/>
        </w:rPr>
      </w:pPr>
      <w:bookmarkStart w:id="34" w:name="_Toc11520"/>
      <w:bookmarkStart w:id="35" w:name="_Toc25"/>
      <w:r>
        <w:rPr>
          <w:rFonts w:hint="eastAsia" w:ascii="宋体" w:hAnsi="宋体" w:eastAsia="宋体" w:cs="宋体"/>
          <w:b/>
          <w:bCs/>
          <w:sz w:val="24"/>
        </w:rPr>
        <w:t>十七、 合同签订与生效</w:t>
      </w:r>
      <w:bookmarkEnd w:id="34"/>
      <w:bookmarkEnd w:id="35"/>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1.订立时间：</w:t>
      </w:r>
      <w:r>
        <w:rPr>
          <w:rFonts w:hint="eastAsia" w:ascii="宋体" w:hAnsi="宋体" w:eastAsia="宋体" w:cs="宋体"/>
          <w:sz w:val="24"/>
          <w:u w:val="single"/>
        </w:rPr>
        <w:t xml:space="preserve">        </w:t>
      </w:r>
      <w:r>
        <w:rPr>
          <w:rFonts w:hint="eastAsia" w:ascii="宋体" w:hAnsi="宋体" w:eastAsia="宋体" w:cs="宋体"/>
          <w:sz w:val="24"/>
        </w:rPr>
        <w:t>年______月________日。</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2.订立地点：</w:t>
      </w:r>
      <w:r>
        <w:rPr>
          <w:rFonts w:hint="eastAsia" w:ascii="宋体" w:hAnsi="宋体" w:eastAsia="宋体" w:cs="宋体"/>
          <w:sz w:val="24"/>
          <w:u w:val="single"/>
        </w:rPr>
        <w:t xml:space="preserve">                             </w:t>
      </w:r>
      <w:r>
        <w:rPr>
          <w:rFonts w:hint="eastAsia" w:ascii="宋体" w:hAnsi="宋体" w:eastAsia="宋体" w:cs="宋体"/>
          <w:sz w:val="24"/>
        </w:rPr>
        <w:t>。</w:t>
      </w:r>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3.本合同自双方签字并加盖公章之日起生效。</w:t>
      </w:r>
    </w:p>
    <w:p>
      <w:pPr>
        <w:spacing w:line="560" w:lineRule="exact"/>
        <w:ind w:firstLine="448" w:firstLineChars="200"/>
        <w:rPr>
          <w:rFonts w:hint="eastAsia" w:ascii="宋体" w:hAnsi="宋体" w:eastAsia="宋体" w:cs="宋体"/>
          <w:sz w:val="24"/>
        </w:rPr>
      </w:pPr>
      <w:bookmarkStart w:id="36" w:name="_Toc21753"/>
      <w:bookmarkStart w:id="37" w:name="_Toc13653"/>
      <w:r>
        <w:rPr>
          <w:rFonts w:hint="eastAsia" w:ascii="宋体" w:hAnsi="宋体" w:eastAsia="宋体" w:cs="宋体"/>
          <w:b/>
          <w:bCs/>
          <w:sz w:val="24"/>
        </w:rPr>
        <w:t>十八、 其他约定</w:t>
      </w:r>
      <w:bookmarkEnd w:id="36"/>
      <w:bookmarkEnd w:id="37"/>
    </w:p>
    <w:p>
      <w:pPr>
        <w:spacing w:line="560" w:lineRule="exact"/>
        <w:ind w:firstLine="448" w:firstLineChars="200"/>
        <w:rPr>
          <w:rFonts w:hint="eastAsia" w:ascii="宋体" w:hAnsi="宋体" w:eastAsia="宋体" w:cs="宋体"/>
          <w:sz w:val="24"/>
        </w:rPr>
      </w:pPr>
      <w:r>
        <w:rPr>
          <w:rFonts w:hint="eastAsia" w:ascii="宋体" w:hAnsi="宋体" w:eastAsia="宋体" w:cs="宋体"/>
          <w:sz w:val="24"/>
        </w:rPr>
        <w:t>本合同一式陆份，具有同等法律效力，其中甲方执叁份，乙方执叁份。</w:t>
      </w:r>
    </w:p>
    <w:p>
      <w:pPr>
        <w:pStyle w:val="19"/>
        <w:spacing w:line="560" w:lineRule="exact"/>
        <w:ind w:firstLine="448" w:firstLineChars="200"/>
        <w:rPr>
          <w:rFonts w:hint="eastAsia" w:ascii="宋体" w:hAnsi="宋体" w:cs="宋体"/>
          <w:sz w:val="24"/>
          <w:szCs w:val="24"/>
        </w:rPr>
      </w:pPr>
      <w:r>
        <w:rPr>
          <w:rFonts w:hint="eastAsia" w:ascii="宋体" w:hAnsi="宋体" w:cs="宋体"/>
          <w:sz w:val="24"/>
          <w:szCs w:val="24"/>
        </w:rPr>
        <w:t>附件：</w:t>
      </w:r>
      <w:bookmarkStart w:id="38" w:name="_Toc26983"/>
      <w:r>
        <w:rPr>
          <w:rFonts w:hint="eastAsia" w:ascii="宋体" w:hAnsi="宋体" w:cs="宋体"/>
          <w:sz w:val="24"/>
          <w:szCs w:val="24"/>
        </w:rPr>
        <w:t>服务费用组成</w:t>
      </w:r>
      <w:bookmarkEnd w:id="38"/>
    </w:p>
    <w:p>
      <w:pPr>
        <w:pStyle w:val="19"/>
        <w:spacing w:line="560" w:lineRule="exact"/>
        <w:ind w:firstLine="448" w:firstLineChars="200"/>
        <w:rPr>
          <w:rFonts w:hint="eastAsia" w:ascii="宋体" w:hAnsi="宋体" w:cs="宋体"/>
          <w:sz w:val="24"/>
          <w:szCs w:val="24"/>
        </w:rPr>
      </w:pPr>
      <w:r>
        <w:rPr>
          <w:rFonts w:hint="eastAsia" w:ascii="宋体" w:hAnsi="宋体" w:cs="宋体"/>
          <w:sz w:val="24"/>
          <w:szCs w:val="24"/>
        </w:rPr>
        <w:t>（以下无正文）</w:t>
      </w:r>
    </w:p>
    <w:p>
      <w:pPr>
        <w:pStyle w:val="19"/>
        <w:spacing w:line="560" w:lineRule="exact"/>
        <w:rPr>
          <w:rFonts w:hint="eastAsia" w:ascii="宋体" w:hAnsi="宋体" w:cs="宋体"/>
          <w:sz w:val="24"/>
          <w:szCs w:val="24"/>
        </w:rPr>
      </w:pPr>
    </w:p>
    <w:p>
      <w:pPr>
        <w:pStyle w:val="19"/>
        <w:spacing w:line="560" w:lineRule="exact"/>
        <w:rPr>
          <w:rFonts w:hint="eastAsia" w:ascii="宋体" w:hAnsi="宋体" w:cs="宋体"/>
          <w:sz w:val="24"/>
          <w:szCs w:val="24"/>
        </w:rPr>
      </w:pPr>
    </w:p>
    <w:p>
      <w:pPr>
        <w:pStyle w:val="19"/>
        <w:spacing w:line="560" w:lineRule="exact"/>
        <w:rPr>
          <w:rFonts w:hint="eastAsia" w:ascii="宋体" w:hAnsi="宋体" w:cs="宋体"/>
          <w:sz w:val="24"/>
          <w:szCs w:val="24"/>
        </w:rPr>
      </w:pPr>
    </w:p>
    <w:p>
      <w:pPr>
        <w:pStyle w:val="19"/>
        <w:spacing w:line="560" w:lineRule="exact"/>
        <w:rPr>
          <w:rFonts w:hint="eastAsia" w:ascii="宋体" w:hAnsi="宋体" w:cs="宋体"/>
          <w:sz w:val="24"/>
          <w:szCs w:val="24"/>
        </w:rPr>
      </w:pPr>
    </w:p>
    <w:p>
      <w:pPr>
        <w:spacing w:line="560" w:lineRule="exact"/>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b/>
          <w:bCs/>
          <w:sz w:val="24"/>
        </w:rPr>
        <w:t xml:space="preserve"> </w:t>
      </w:r>
      <w:r>
        <w:rPr>
          <w:rFonts w:hint="eastAsia" w:ascii="宋体" w:hAnsi="宋体" w:eastAsia="宋体" w:cs="宋体"/>
          <w:sz w:val="24"/>
        </w:rPr>
        <w:t>湛江诚通物流有限公司             乙方：</w:t>
      </w:r>
      <w:r>
        <w:rPr>
          <w:rFonts w:hint="eastAsia" w:ascii="宋体" w:hAnsi="宋体" w:eastAsia="宋体" w:cs="宋体"/>
          <w:b/>
          <w:bCs/>
          <w:sz w:val="24"/>
        </w:rPr>
        <w:t xml:space="preserve">  </w:t>
      </w:r>
    </w:p>
    <w:p>
      <w:pPr>
        <w:spacing w:line="560" w:lineRule="exact"/>
        <w:ind w:firstLine="1113" w:firstLineChars="497"/>
        <w:rPr>
          <w:rFonts w:hint="eastAsia" w:ascii="宋体" w:hAnsi="宋体" w:eastAsia="宋体" w:cs="宋体"/>
          <w:sz w:val="24"/>
        </w:rPr>
      </w:pPr>
      <w:r>
        <w:rPr>
          <w:rFonts w:hint="eastAsia" w:ascii="宋体" w:hAnsi="宋体" w:eastAsia="宋体" w:cs="宋体"/>
          <w:sz w:val="24"/>
        </w:rPr>
        <w:t>（盖 章）                            （盖 章）</w:t>
      </w:r>
    </w:p>
    <w:p>
      <w:pPr>
        <w:spacing w:line="560" w:lineRule="exact"/>
        <w:ind w:firstLine="670" w:firstLineChars="299"/>
        <w:rPr>
          <w:rFonts w:hint="eastAsia" w:ascii="宋体" w:hAnsi="宋体" w:eastAsia="宋体" w:cs="宋体"/>
          <w:sz w:val="24"/>
        </w:rPr>
      </w:pPr>
      <w:r>
        <w:rPr>
          <w:rFonts w:hint="eastAsia" w:ascii="宋体" w:hAnsi="宋体" w:eastAsia="宋体" w:cs="宋体"/>
          <w:sz w:val="24"/>
        </w:rPr>
        <w:t xml:space="preserve">                               </w:t>
      </w:r>
    </w:p>
    <w:p>
      <w:pPr>
        <w:spacing w:line="560" w:lineRule="exact"/>
        <w:rPr>
          <w:rFonts w:hint="eastAsia" w:ascii="宋体" w:hAnsi="宋体" w:eastAsia="宋体" w:cs="宋体"/>
          <w:sz w:val="24"/>
        </w:rPr>
      </w:pPr>
      <w:r>
        <w:rPr>
          <w:rFonts w:hint="eastAsia" w:ascii="宋体" w:hAnsi="宋体" w:eastAsia="宋体" w:cs="宋体"/>
          <w:sz w:val="24"/>
        </w:rPr>
        <w:t xml:space="preserve">法人代表（委托人）签字：                 法定代表人（委托人）签字： </w:t>
      </w:r>
    </w:p>
    <w:p>
      <w:pPr>
        <w:spacing w:line="56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4"/>
        </w:rPr>
        <w:t xml:space="preserve">           </w:t>
      </w:r>
      <w:r>
        <w:rPr>
          <w:rFonts w:hint="eastAsia" w:ascii="宋体" w:hAnsi="宋体" w:eastAsia="宋体" w:cs="宋体"/>
          <w:sz w:val="24"/>
        </w:rPr>
        <w:t xml:space="preserve">                       </w:t>
      </w:r>
    </w:p>
    <w:p>
      <w:pPr>
        <w:spacing w:line="560" w:lineRule="exact"/>
        <w:ind w:firstLine="1344" w:firstLineChars="600"/>
        <w:rPr>
          <w:rFonts w:hint="eastAsia" w:ascii="宋体" w:hAnsi="宋体" w:eastAsia="宋体" w:cs="宋体"/>
          <w:sz w:val="24"/>
        </w:rPr>
      </w:pPr>
      <w:r>
        <w:rPr>
          <w:rFonts w:hint="eastAsia" w:ascii="宋体" w:hAnsi="宋体" w:eastAsia="宋体" w:cs="宋体"/>
          <w:sz w:val="24"/>
        </w:rPr>
        <w:t xml:space="preserve">                            </w:t>
      </w:r>
    </w:p>
    <w:p>
      <w:pPr>
        <w:spacing w:line="560" w:lineRule="exact"/>
        <w:rPr>
          <w:rFonts w:hint="eastAsia" w:ascii="宋体" w:hAnsi="宋体" w:eastAsia="宋体" w:cs="宋体"/>
          <w:sz w:val="24"/>
        </w:rPr>
      </w:pPr>
      <w:r>
        <w:rPr>
          <w:rFonts w:hint="eastAsia" w:ascii="宋体" w:hAnsi="宋体" w:eastAsia="宋体" w:cs="宋体"/>
          <w:sz w:val="24"/>
        </w:rPr>
        <w:t>2024年    月    日                        2024年    月    日</w:t>
      </w:r>
    </w:p>
    <w:p>
      <w:pPr>
        <w:spacing w:line="560" w:lineRule="exact"/>
        <w:rPr>
          <w:rFonts w:hint="eastAsia" w:ascii="宋体" w:hAnsi="宋体" w:eastAsia="宋体" w:cs="宋体"/>
          <w:sz w:val="24"/>
        </w:rPr>
      </w:pPr>
    </w:p>
    <w:p>
      <w:pPr>
        <w:spacing w:line="560" w:lineRule="exact"/>
        <w:rPr>
          <w:rFonts w:hint="eastAsia" w:ascii="宋体" w:hAnsi="宋体" w:eastAsia="宋体" w:cs="宋体"/>
          <w:sz w:val="24"/>
        </w:rPr>
      </w:pPr>
    </w:p>
    <w:p>
      <w:pPr>
        <w:spacing w:line="560" w:lineRule="exact"/>
        <w:rPr>
          <w:rFonts w:hint="eastAsia" w:ascii="宋体" w:hAnsi="宋体" w:eastAsia="宋体" w:cs="宋体"/>
          <w:sz w:val="24"/>
        </w:rPr>
      </w:pPr>
    </w:p>
    <w:p>
      <w:r>
        <w:br w:type="page"/>
      </w:r>
      <w:r>
        <w:rPr>
          <w:rFonts w:hint="eastAsia" w:ascii="宋体" w:hAnsi="宋体" w:eastAsia="宋体" w:cs="宋体"/>
          <w:sz w:val="24"/>
        </w:rPr>
        <w:t>附件</w:t>
      </w:r>
    </w:p>
    <w:p>
      <w:pPr>
        <w:pStyle w:val="2"/>
        <w:spacing w:after="120"/>
        <w:jc w:val="center"/>
        <w:rPr>
          <w:rFonts w:hint="eastAsia" w:cs="宋体"/>
          <w:sz w:val="24"/>
          <w:szCs w:val="24"/>
        </w:rPr>
      </w:pPr>
      <w:bookmarkStart w:id="39" w:name="_Toc9612"/>
      <w:bookmarkStart w:id="40" w:name="_Toc3585"/>
      <w:bookmarkStart w:id="41" w:name="_Toc172570464"/>
      <w:bookmarkStart w:id="42" w:name="_Toc7258"/>
      <w:r>
        <w:rPr>
          <w:rFonts w:hint="eastAsia" w:cs="宋体"/>
          <w:sz w:val="24"/>
          <w:szCs w:val="24"/>
        </w:rPr>
        <w:t>服务费用组成</w:t>
      </w:r>
      <w:bookmarkEnd w:id="39"/>
      <w:bookmarkEnd w:id="40"/>
      <w:bookmarkEnd w:id="41"/>
      <w:bookmarkEnd w:id="42"/>
    </w:p>
    <w:p>
      <w:pPr>
        <w:rPr>
          <w:rFonts w:hint="eastAsia" w:ascii="宋体" w:hAnsi="宋体" w:eastAsia="宋体" w:cs="宋体"/>
          <w:sz w:val="24"/>
        </w:rPr>
      </w:pPr>
      <w:r>
        <w:rPr>
          <w:rFonts w:hint="eastAsia" w:ascii="宋体" w:hAnsi="宋体" w:eastAsia="宋体" w:cs="宋体"/>
          <w:sz w:val="24"/>
        </w:rPr>
        <w:t>合同费用组成如下：</w:t>
      </w:r>
    </w:p>
    <w:p>
      <w:pPr>
        <w:spacing w:line="560" w:lineRule="exact"/>
        <w:rPr>
          <w:rFonts w:hint="eastAsia" w:ascii="宋体" w:hAnsi="宋体" w:eastAsia="宋体" w:cs="宋体"/>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183"/>
        <w:gridCol w:w="3161"/>
        <w:gridCol w:w="124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9"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序号</w:t>
            </w:r>
          </w:p>
        </w:tc>
        <w:tc>
          <w:tcPr>
            <w:tcW w:w="2183"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安全设施“三同时”阶段名称</w:t>
            </w:r>
          </w:p>
        </w:tc>
        <w:tc>
          <w:tcPr>
            <w:tcW w:w="3161"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安全设施“三同时”</w:t>
            </w:r>
          </w:p>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具体咨询服务事项</w:t>
            </w:r>
          </w:p>
        </w:tc>
        <w:tc>
          <w:tcPr>
            <w:tcW w:w="1243"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分项报价（含税）</w:t>
            </w:r>
          </w:p>
        </w:tc>
        <w:tc>
          <w:tcPr>
            <w:tcW w:w="890"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9"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1</w:t>
            </w:r>
          </w:p>
        </w:tc>
        <w:tc>
          <w:tcPr>
            <w:tcW w:w="2183" w:type="dxa"/>
            <w:vMerge w:val="restart"/>
            <w:vAlign w:val="center"/>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安全验收评价</w:t>
            </w:r>
          </w:p>
        </w:tc>
        <w:tc>
          <w:tcPr>
            <w:tcW w:w="3161"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前期准备阶段</w:t>
            </w:r>
          </w:p>
        </w:tc>
        <w:tc>
          <w:tcPr>
            <w:tcW w:w="1243" w:type="dxa"/>
          </w:tcPr>
          <w:p>
            <w:pPr>
              <w:adjustRightInd w:val="0"/>
              <w:snapToGrid w:val="0"/>
              <w:spacing w:line="560" w:lineRule="exact"/>
              <w:rPr>
                <w:rFonts w:hint="eastAsia" w:ascii="宋体" w:hAnsi="宋体" w:eastAsia="宋体" w:cs="宋体"/>
                <w:sz w:val="24"/>
              </w:rPr>
            </w:pPr>
          </w:p>
        </w:tc>
        <w:tc>
          <w:tcPr>
            <w:tcW w:w="890" w:type="dxa"/>
          </w:tcPr>
          <w:p>
            <w:pPr>
              <w:adjustRightInd w:val="0"/>
              <w:snapToGrid w:val="0"/>
              <w:spacing w:line="5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9"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2</w:t>
            </w:r>
          </w:p>
        </w:tc>
        <w:tc>
          <w:tcPr>
            <w:tcW w:w="2183" w:type="dxa"/>
            <w:vMerge w:val="continue"/>
          </w:tcPr>
          <w:p>
            <w:pPr>
              <w:adjustRightInd w:val="0"/>
              <w:snapToGrid w:val="0"/>
              <w:spacing w:line="560" w:lineRule="exact"/>
              <w:jc w:val="left"/>
              <w:rPr>
                <w:rFonts w:hint="eastAsia" w:ascii="宋体" w:hAnsi="宋体" w:eastAsia="宋体" w:cs="宋体"/>
                <w:sz w:val="24"/>
              </w:rPr>
            </w:pPr>
          </w:p>
        </w:tc>
        <w:tc>
          <w:tcPr>
            <w:tcW w:w="3161"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安全评价分析</w:t>
            </w:r>
          </w:p>
        </w:tc>
        <w:tc>
          <w:tcPr>
            <w:tcW w:w="1243" w:type="dxa"/>
          </w:tcPr>
          <w:p>
            <w:pPr>
              <w:adjustRightInd w:val="0"/>
              <w:snapToGrid w:val="0"/>
              <w:spacing w:line="560" w:lineRule="exact"/>
              <w:rPr>
                <w:rFonts w:hint="eastAsia" w:ascii="宋体" w:hAnsi="宋体" w:eastAsia="宋体" w:cs="宋体"/>
                <w:sz w:val="24"/>
              </w:rPr>
            </w:pPr>
          </w:p>
        </w:tc>
        <w:tc>
          <w:tcPr>
            <w:tcW w:w="890" w:type="dxa"/>
          </w:tcPr>
          <w:p>
            <w:pPr>
              <w:adjustRightInd w:val="0"/>
              <w:snapToGrid w:val="0"/>
              <w:spacing w:line="5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9"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3</w:t>
            </w:r>
          </w:p>
        </w:tc>
        <w:tc>
          <w:tcPr>
            <w:tcW w:w="2183" w:type="dxa"/>
            <w:vMerge w:val="continue"/>
          </w:tcPr>
          <w:p>
            <w:pPr>
              <w:adjustRightInd w:val="0"/>
              <w:snapToGrid w:val="0"/>
              <w:spacing w:line="560" w:lineRule="exact"/>
              <w:jc w:val="left"/>
              <w:rPr>
                <w:rFonts w:hint="eastAsia" w:ascii="宋体" w:hAnsi="宋体" w:eastAsia="宋体" w:cs="宋体"/>
                <w:sz w:val="24"/>
              </w:rPr>
            </w:pPr>
          </w:p>
        </w:tc>
        <w:tc>
          <w:tcPr>
            <w:tcW w:w="3161"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提出安全对策措施建议</w:t>
            </w:r>
          </w:p>
        </w:tc>
        <w:tc>
          <w:tcPr>
            <w:tcW w:w="1243" w:type="dxa"/>
          </w:tcPr>
          <w:p>
            <w:pPr>
              <w:adjustRightInd w:val="0"/>
              <w:snapToGrid w:val="0"/>
              <w:spacing w:line="560" w:lineRule="exact"/>
              <w:rPr>
                <w:rFonts w:hint="eastAsia" w:ascii="宋体" w:hAnsi="宋体" w:eastAsia="宋体" w:cs="宋体"/>
                <w:sz w:val="24"/>
              </w:rPr>
            </w:pPr>
          </w:p>
        </w:tc>
        <w:tc>
          <w:tcPr>
            <w:tcW w:w="890" w:type="dxa"/>
          </w:tcPr>
          <w:p>
            <w:pPr>
              <w:adjustRightInd w:val="0"/>
              <w:snapToGrid w:val="0"/>
              <w:spacing w:line="5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9"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4</w:t>
            </w:r>
          </w:p>
        </w:tc>
        <w:tc>
          <w:tcPr>
            <w:tcW w:w="2183" w:type="dxa"/>
            <w:vMerge w:val="continue"/>
          </w:tcPr>
          <w:p>
            <w:pPr>
              <w:adjustRightInd w:val="0"/>
              <w:snapToGrid w:val="0"/>
              <w:spacing w:line="560" w:lineRule="exact"/>
              <w:jc w:val="left"/>
              <w:rPr>
                <w:rFonts w:hint="eastAsia" w:ascii="宋体" w:hAnsi="宋体" w:eastAsia="宋体" w:cs="宋体"/>
                <w:sz w:val="24"/>
              </w:rPr>
            </w:pPr>
          </w:p>
        </w:tc>
        <w:tc>
          <w:tcPr>
            <w:tcW w:w="3161"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作出评价结论并编制</w:t>
            </w:r>
          </w:p>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安全验收评价报告及评审</w:t>
            </w:r>
          </w:p>
        </w:tc>
        <w:tc>
          <w:tcPr>
            <w:tcW w:w="1243" w:type="dxa"/>
          </w:tcPr>
          <w:p>
            <w:pPr>
              <w:adjustRightInd w:val="0"/>
              <w:snapToGrid w:val="0"/>
              <w:spacing w:line="560" w:lineRule="exact"/>
              <w:rPr>
                <w:rFonts w:hint="eastAsia" w:ascii="宋体" w:hAnsi="宋体" w:eastAsia="宋体" w:cs="宋体"/>
                <w:sz w:val="24"/>
              </w:rPr>
            </w:pPr>
          </w:p>
        </w:tc>
        <w:tc>
          <w:tcPr>
            <w:tcW w:w="890" w:type="dxa"/>
          </w:tcPr>
          <w:p>
            <w:pPr>
              <w:adjustRightInd w:val="0"/>
              <w:snapToGrid w:val="0"/>
              <w:spacing w:line="5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19" w:type="dxa"/>
          </w:tcPr>
          <w:p>
            <w:pPr>
              <w:adjustRightInd w:val="0"/>
              <w:snapToGrid w:val="0"/>
              <w:spacing w:line="560" w:lineRule="exact"/>
              <w:rPr>
                <w:rFonts w:hint="eastAsia" w:ascii="宋体" w:hAnsi="宋体" w:eastAsia="宋体" w:cs="宋体"/>
                <w:sz w:val="24"/>
              </w:rPr>
            </w:pPr>
          </w:p>
        </w:tc>
        <w:tc>
          <w:tcPr>
            <w:tcW w:w="2183" w:type="dxa"/>
          </w:tcPr>
          <w:p>
            <w:pPr>
              <w:adjustRightInd w:val="0"/>
              <w:snapToGrid w:val="0"/>
              <w:spacing w:line="560" w:lineRule="exact"/>
              <w:jc w:val="center"/>
              <w:rPr>
                <w:rFonts w:hint="eastAsia" w:ascii="宋体" w:hAnsi="宋体" w:eastAsia="宋体" w:cs="宋体"/>
                <w:sz w:val="24"/>
              </w:rPr>
            </w:pPr>
            <w:r>
              <w:rPr>
                <w:rFonts w:hint="eastAsia" w:ascii="宋体" w:hAnsi="宋体" w:eastAsia="宋体" w:cs="宋体"/>
                <w:sz w:val="24"/>
              </w:rPr>
              <w:t>合计</w:t>
            </w:r>
          </w:p>
        </w:tc>
        <w:tc>
          <w:tcPr>
            <w:tcW w:w="3161" w:type="dxa"/>
          </w:tcPr>
          <w:p>
            <w:pPr>
              <w:adjustRightInd w:val="0"/>
              <w:snapToGrid w:val="0"/>
              <w:spacing w:line="560" w:lineRule="exact"/>
              <w:rPr>
                <w:rFonts w:hint="eastAsia" w:ascii="宋体" w:hAnsi="宋体" w:eastAsia="宋体" w:cs="宋体"/>
                <w:sz w:val="24"/>
              </w:rPr>
            </w:pPr>
          </w:p>
        </w:tc>
        <w:tc>
          <w:tcPr>
            <w:tcW w:w="1243" w:type="dxa"/>
          </w:tcPr>
          <w:p>
            <w:pPr>
              <w:adjustRightInd w:val="0"/>
              <w:snapToGrid w:val="0"/>
              <w:spacing w:line="560" w:lineRule="exact"/>
              <w:rPr>
                <w:rFonts w:hint="eastAsia" w:ascii="宋体" w:hAnsi="宋体" w:eastAsia="宋体" w:cs="宋体"/>
                <w:sz w:val="24"/>
              </w:rPr>
            </w:pPr>
          </w:p>
        </w:tc>
        <w:tc>
          <w:tcPr>
            <w:tcW w:w="890" w:type="dxa"/>
          </w:tcPr>
          <w:p>
            <w:pPr>
              <w:adjustRightInd w:val="0"/>
              <w:snapToGrid w:val="0"/>
              <w:spacing w:line="560" w:lineRule="exact"/>
              <w:rPr>
                <w:rFonts w:hint="eastAsia" w:ascii="宋体" w:hAnsi="宋体" w:eastAsia="宋体" w:cs="宋体"/>
                <w:sz w:val="24"/>
              </w:rPr>
            </w:pPr>
          </w:p>
        </w:tc>
      </w:tr>
    </w:tbl>
    <w:p>
      <w:pPr>
        <w:spacing w:line="560" w:lineRule="exact"/>
        <w:rPr>
          <w:rFonts w:hint="eastAsia" w:ascii="宋体" w:hAnsi="宋体" w:eastAsia="宋体" w:cs="宋体"/>
          <w:sz w:val="24"/>
        </w:rPr>
      </w:pPr>
    </w:p>
    <w:sectPr>
      <w:footerReference r:id="rId3" w:type="default"/>
      <w:type w:val="continuous"/>
      <w:pgSz w:w="11906" w:h="16838"/>
      <w:pgMar w:top="975" w:right="1042" w:bottom="964" w:left="1552" w:header="851" w:footer="596" w:gutter="0"/>
      <w:pgNumType w:start="1"/>
      <w:cols w:space="720" w:num="1"/>
      <w:docGrid w:type="linesAndChars" w:linePitch="297" w:charSpace="-3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30" w:firstLineChars="2350"/>
    </w:pPr>
    <w:r>
      <w:fldChar w:fldCharType="begin"/>
    </w:r>
    <w:r>
      <w:instrText xml:space="preserve">PAGE   \* MERGEFORMAT</w:instrText>
    </w:r>
    <w:r>
      <w:fldChar w:fldCharType="separate"/>
    </w:r>
    <w:r>
      <w:rPr>
        <w:lang w:val="zh-CN"/>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F974D"/>
    <w:multiLevelType w:val="singleLevel"/>
    <w:tmpl w:val="065F974D"/>
    <w:lvl w:ilvl="0" w:tentative="0">
      <w:start w:val="1"/>
      <w:numFmt w:val="decimal"/>
      <w:suff w:val="nothing"/>
      <w:lvlText w:val="%1．"/>
      <w:lvlJc w:val="left"/>
      <w:pPr>
        <w:ind w:left="0" w:firstLine="400"/>
      </w:pPr>
      <w:rPr>
        <w:rFonts w:hint="default"/>
      </w:rPr>
    </w:lvl>
  </w:abstractNum>
  <w:abstractNum w:abstractNumId="1">
    <w:nsid w:val="0678327E"/>
    <w:multiLevelType w:val="singleLevel"/>
    <w:tmpl w:val="0678327E"/>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97"/>
  <w:drawingGridVerticalSpacing w:val="29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hZmE1ZTI4MmQwZGMwMjU2Y2I2ZTRkNjkyYTQ2MTMifQ=="/>
  </w:docVars>
  <w:rsids>
    <w:rsidRoot w:val="00172A27"/>
    <w:rsid w:val="00014920"/>
    <w:rsid w:val="000309C0"/>
    <w:rsid w:val="00054AD5"/>
    <w:rsid w:val="000712ED"/>
    <w:rsid w:val="000764CB"/>
    <w:rsid w:val="00080253"/>
    <w:rsid w:val="00085A2D"/>
    <w:rsid w:val="000900D7"/>
    <w:rsid w:val="000C3C8D"/>
    <w:rsid w:val="000E316D"/>
    <w:rsid w:val="000E3CDE"/>
    <w:rsid w:val="000F6E17"/>
    <w:rsid w:val="0010044D"/>
    <w:rsid w:val="0011546E"/>
    <w:rsid w:val="00130FEC"/>
    <w:rsid w:val="0014129F"/>
    <w:rsid w:val="0015129E"/>
    <w:rsid w:val="00153415"/>
    <w:rsid w:val="00163554"/>
    <w:rsid w:val="00171E01"/>
    <w:rsid w:val="00172A27"/>
    <w:rsid w:val="001930EB"/>
    <w:rsid w:val="001B22E6"/>
    <w:rsid w:val="001B286D"/>
    <w:rsid w:val="001C02C2"/>
    <w:rsid w:val="001C458E"/>
    <w:rsid w:val="001C57CB"/>
    <w:rsid w:val="001D7766"/>
    <w:rsid w:val="002133BD"/>
    <w:rsid w:val="00213CD4"/>
    <w:rsid w:val="0022642D"/>
    <w:rsid w:val="00230AB0"/>
    <w:rsid w:val="002413BE"/>
    <w:rsid w:val="00271F5A"/>
    <w:rsid w:val="00275D0D"/>
    <w:rsid w:val="002C5783"/>
    <w:rsid w:val="002E3ADB"/>
    <w:rsid w:val="003114BC"/>
    <w:rsid w:val="00315F9C"/>
    <w:rsid w:val="00327E3F"/>
    <w:rsid w:val="00341980"/>
    <w:rsid w:val="00344448"/>
    <w:rsid w:val="003515A7"/>
    <w:rsid w:val="003520D1"/>
    <w:rsid w:val="003A2F4F"/>
    <w:rsid w:val="003D1969"/>
    <w:rsid w:val="003D6C43"/>
    <w:rsid w:val="003E08C0"/>
    <w:rsid w:val="003F0AB6"/>
    <w:rsid w:val="0044385A"/>
    <w:rsid w:val="00443EF2"/>
    <w:rsid w:val="00446434"/>
    <w:rsid w:val="004615BC"/>
    <w:rsid w:val="00462CFF"/>
    <w:rsid w:val="00463609"/>
    <w:rsid w:val="00467209"/>
    <w:rsid w:val="0047150D"/>
    <w:rsid w:val="00485DAF"/>
    <w:rsid w:val="004B3962"/>
    <w:rsid w:val="004C3258"/>
    <w:rsid w:val="004D1BE7"/>
    <w:rsid w:val="004E3C8B"/>
    <w:rsid w:val="00501AFB"/>
    <w:rsid w:val="00501F67"/>
    <w:rsid w:val="005129F5"/>
    <w:rsid w:val="00531B32"/>
    <w:rsid w:val="00541C15"/>
    <w:rsid w:val="0055131E"/>
    <w:rsid w:val="005513E2"/>
    <w:rsid w:val="00551C41"/>
    <w:rsid w:val="00555F6D"/>
    <w:rsid w:val="00557BE8"/>
    <w:rsid w:val="005A14E9"/>
    <w:rsid w:val="005A253C"/>
    <w:rsid w:val="005A64F8"/>
    <w:rsid w:val="005C1ABA"/>
    <w:rsid w:val="005C77CA"/>
    <w:rsid w:val="005E24F0"/>
    <w:rsid w:val="005F2231"/>
    <w:rsid w:val="00612534"/>
    <w:rsid w:val="006153F9"/>
    <w:rsid w:val="00621059"/>
    <w:rsid w:val="00644CEC"/>
    <w:rsid w:val="00645B83"/>
    <w:rsid w:val="00672811"/>
    <w:rsid w:val="006826C8"/>
    <w:rsid w:val="006847A5"/>
    <w:rsid w:val="00694E66"/>
    <w:rsid w:val="00695B76"/>
    <w:rsid w:val="006B4370"/>
    <w:rsid w:val="006B77A4"/>
    <w:rsid w:val="006C7AE2"/>
    <w:rsid w:val="006F5287"/>
    <w:rsid w:val="00712BFF"/>
    <w:rsid w:val="00713269"/>
    <w:rsid w:val="00713851"/>
    <w:rsid w:val="00762264"/>
    <w:rsid w:val="0078246B"/>
    <w:rsid w:val="007A5A24"/>
    <w:rsid w:val="007B6B32"/>
    <w:rsid w:val="007B6BF5"/>
    <w:rsid w:val="007C41DB"/>
    <w:rsid w:val="00811D69"/>
    <w:rsid w:val="0081291F"/>
    <w:rsid w:val="00822CEB"/>
    <w:rsid w:val="00827735"/>
    <w:rsid w:val="008328F5"/>
    <w:rsid w:val="00853CAA"/>
    <w:rsid w:val="0085741A"/>
    <w:rsid w:val="00861722"/>
    <w:rsid w:val="008628B5"/>
    <w:rsid w:val="008737AF"/>
    <w:rsid w:val="00882072"/>
    <w:rsid w:val="00883911"/>
    <w:rsid w:val="008B60BA"/>
    <w:rsid w:val="008C4A25"/>
    <w:rsid w:val="008D138C"/>
    <w:rsid w:val="008E6536"/>
    <w:rsid w:val="00915CD7"/>
    <w:rsid w:val="00923930"/>
    <w:rsid w:val="00925230"/>
    <w:rsid w:val="00931B28"/>
    <w:rsid w:val="0094189C"/>
    <w:rsid w:val="00947EE1"/>
    <w:rsid w:val="00954813"/>
    <w:rsid w:val="00983288"/>
    <w:rsid w:val="00984FA3"/>
    <w:rsid w:val="009C5F67"/>
    <w:rsid w:val="009F3794"/>
    <w:rsid w:val="009F67B9"/>
    <w:rsid w:val="00A11A3A"/>
    <w:rsid w:val="00A1701D"/>
    <w:rsid w:val="00A71AE1"/>
    <w:rsid w:val="00A83280"/>
    <w:rsid w:val="00A85E10"/>
    <w:rsid w:val="00AA1C08"/>
    <w:rsid w:val="00AA7124"/>
    <w:rsid w:val="00AD35BB"/>
    <w:rsid w:val="00AE01A6"/>
    <w:rsid w:val="00AF30E6"/>
    <w:rsid w:val="00AF5910"/>
    <w:rsid w:val="00B020A6"/>
    <w:rsid w:val="00B07272"/>
    <w:rsid w:val="00B14C88"/>
    <w:rsid w:val="00B37CB0"/>
    <w:rsid w:val="00B43D4E"/>
    <w:rsid w:val="00B6611E"/>
    <w:rsid w:val="00B85893"/>
    <w:rsid w:val="00BA2D0B"/>
    <w:rsid w:val="00BA2E9A"/>
    <w:rsid w:val="00BB7695"/>
    <w:rsid w:val="00BC56D7"/>
    <w:rsid w:val="00BC5A9C"/>
    <w:rsid w:val="00BD5A09"/>
    <w:rsid w:val="00BD7F6E"/>
    <w:rsid w:val="00C01089"/>
    <w:rsid w:val="00C026B0"/>
    <w:rsid w:val="00C1391B"/>
    <w:rsid w:val="00C2239A"/>
    <w:rsid w:val="00C32234"/>
    <w:rsid w:val="00C37892"/>
    <w:rsid w:val="00C40A92"/>
    <w:rsid w:val="00C60FF1"/>
    <w:rsid w:val="00C62B49"/>
    <w:rsid w:val="00C72537"/>
    <w:rsid w:val="00C8223B"/>
    <w:rsid w:val="00C849F7"/>
    <w:rsid w:val="00C97A4E"/>
    <w:rsid w:val="00CD478C"/>
    <w:rsid w:val="00CD516A"/>
    <w:rsid w:val="00CD5BD6"/>
    <w:rsid w:val="00CD6756"/>
    <w:rsid w:val="00CE5196"/>
    <w:rsid w:val="00CF2410"/>
    <w:rsid w:val="00CF3E54"/>
    <w:rsid w:val="00D07F97"/>
    <w:rsid w:val="00D105FB"/>
    <w:rsid w:val="00D21DE0"/>
    <w:rsid w:val="00D56319"/>
    <w:rsid w:val="00D60C90"/>
    <w:rsid w:val="00DC0065"/>
    <w:rsid w:val="00DD221E"/>
    <w:rsid w:val="00DF6F2D"/>
    <w:rsid w:val="00E36386"/>
    <w:rsid w:val="00E52706"/>
    <w:rsid w:val="00E57F32"/>
    <w:rsid w:val="00E738AB"/>
    <w:rsid w:val="00E74FC9"/>
    <w:rsid w:val="00E8789A"/>
    <w:rsid w:val="00E94B3B"/>
    <w:rsid w:val="00EB2BE4"/>
    <w:rsid w:val="00EC2894"/>
    <w:rsid w:val="00EC42F2"/>
    <w:rsid w:val="00EE4642"/>
    <w:rsid w:val="00EE6181"/>
    <w:rsid w:val="00EE7601"/>
    <w:rsid w:val="00F024C7"/>
    <w:rsid w:val="00F36DAF"/>
    <w:rsid w:val="00F411C6"/>
    <w:rsid w:val="00F5408D"/>
    <w:rsid w:val="00F55657"/>
    <w:rsid w:val="00F70598"/>
    <w:rsid w:val="00F85F07"/>
    <w:rsid w:val="00FA1015"/>
    <w:rsid w:val="00FA68F6"/>
    <w:rsid w:val="00FD1432"/>
    <w:rsid w:val="03101E00"/>
    <w:rsid w:val="066A74E1"/>
    <w:rsid w:val="06AE5B9B"/>
    <w:rsid w:val="09051DE1"/>
    <w:rsid w:val="09885DD5"/>
    <w:rsid w:val="09C35612"/>
    <w:rsid w:val="09EC6054"/>
    <w:rsid w:val="0A3D348D"/>
    <w:rsid w:val="0CA00B11"/>
    <w:rsid w:val="0CA75583"/>
    <w:rsid w:val="0CE42333"/>
    <w:rsid w:val="0EDF2324"/>
    <w:rsid w:val="1045133B"/>
    <w:rsid w:val="10B82B24"/>
    <w:rsid w:val="11A535C5"/>
    <w:rsid w:val="13DD188A"/>
    <w:rsid w:val="14706BA3"/>
    <w:rsid w:val="15FA2BC8"/>
    <w:rsid w:val="18D246AE"/>
    <w:rsid w:val="19FB2A6A"/>
    <w:rsid w:val="1AFF4C77"/>
    <w:rsid w:val="1BBE01F3"/>
    <w:rsid w:val="1C093B64"/>
    <w:rsid w:val="1C111A64"/>
    <w:rsid w:val="1CAD0994"/>
    <w:rsid w:val="1D230C56"/>
    <w:rsid w:val="1EA336D1"/>
    <w:rsid w:val="203325CA"/>
    <w:rsid w:val="21C41405"/>
    <w:rsid w:val="224E755E"/>
    <w:rsid w:val="24D13CFF"/>
    <w:rsid w:val="25702FF9"/>
    <w:rsid w:val="25854769"/>
    <w:rsid w:val="25885C8D"/>
    <w:rsid w:val="274D301D"/>
    <w:rsid w:val="27E234BC"/>
    <w:rsid w:val="284D302B"/>
    <w:rsid w:val="29183130"/>
    <w:rsid w:val="2C996D96"/>
    <w:rsid w:val="2D9B65E7"/>
    <w:rsid w:val="2DC773DC"/>
    <w:rsid w:val="2FAB1145"/>
    <w:rsid w:val="2FF457A7"/>
    <w:rsid w:val="33792F26"/>
    <w:rsid w:val="33CB0884"/>
    <w:rsid w:val="34056D88"/>
    <w:rsid w:val="35551771"/>
    <w:rsid w:val="36720B63"/>
    <w:rsid w:val="37121B6D"/>
    <w:rsid w:val="37BB4C25"/>
    <w:rsid w:val="37D174BD"/>
    <w:rsid w:val="38AA1DD4"/>
    <w:rsid w:val="395448C0"/>
    <w:rsid w:val="3B0A79AA"/>
    <w:rsid w:val="3CBE0C38"/>
    <w:rsid w:val="3D76F031"/>
    <w:rsid w:val="3E4D1237"/>
    <w:rsid w:val="4105229D"/>
    <w:rsid w:val="43FC3A36"/>
    <w:rsid w:val="45D466E2"/>
    <w:rsid w:val="46DC584E"/>
    <w:rsid w:val="48403870"/>
    <w:rsid w:val="4C86349F"/>
    <w:rsid w:val="4D5C1497"/>
    <w:rsid w:val="4D7F33D7"/>
    <w:rsid w:val="4E022ABB"/>
    <w:rsid w:val="4E265601"/>
    <w:rsid w:val="4E3F7CCA"/>
    <w:rsid w:val="50D650BC"/>
    <w:rsid w:val="50F33EC0"/>
    <w:rsid w:val="531225F7"/>
    <w:rsid w:val="584B2834"/>
    <w:rsid w:val="597A19E1"/>
    <w:rsid w:val="59A3044D"/>
    <w:rsid w:val="5C432E15"/>
    <w:rsid w:val="5F8605F5"/>
    <w:rsid w:val="62C751AC"/>
    <w:rsid w:val="62D00E29"/>
    <w:rsid w:val="6316288D"/>
    <w:rsid w:val="63930BE3"/>
    <w:rsid w:val="6520214D"/>
    <w:rsid w:val="66372649"/>
    <w:rsid w:val="66F347C2"/>
    <w:rsid w:val="696C7DCD"/>
    <w:rsid w:val="6A3377CC"/>
    <w:rsid w:val="6BD27AA8"/>
    <w:rsid w:val="6D2F3EA3"/>
    <w:rsid w:val="6D567859"/>
    <w:rsid w:val="6D8D6172"/>
    <w:rsid w:val="7040086A"/>
    <w:rsid w:val="70952DAA"/>
    <w:rsid w:val="74D7396B"/>
    <w:rsid w:val="77731088"/>
    <w:rsid w:val="7B914152"/>
    <w:rsid w:val="7D55017A"/>
    <w:rsid w:val="7F6247A2"/>
    <w:rsid w:val="7FD14B1D"/>
    <w:rsid w:val="EBDD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8"/>
      <w:szCs w:val="24"/>
      <w:lang w:val="en-US" w:eastAsia="zh-CN" w:bidi="ar-SA"/>
    </w:rPr>
  </w:style>
  <w:style w:type="paragraph" w:styleId="2">
    <w:name w:val="heading 1"/>
    <w:basedOn w:val="1"/>
    <w:next w:val="1"/>
    <w:link w:val="12"/>
    <w:qFormat/>
    <w:uiPriority w:val="9"/>
    <w:pPr>
      <w:keepNext/>
      <w:keepLines/>
      <w:widowControl/>
      <w:spacing w:before="340" w:after="330" w:line="578" w:lineRule="auto"/>
      <w:jc w:val="left"/>
      <w:outlineLvl w:val="0"/>
    </w:pPr>
    <w:rPr>
      <w:rFonts w:ascii="宋体" w:hAnsi="宋体" w:eastAsia="宋体"/>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标题 1 字符"/>
    <w:link w:val="2"/>
    <w:qFormat/>
    <w:uiPriority w:val="9"/>
    <w:rPr>
      <w:rFonts w:ascii="宋体" w:hAnsi="宋体"/>
      <w:b/>
      <w:bCs/>
      <w:kern w:val="44"/>
      <w:sz w:val="44"/>
      <w:szCs w:val="44"/>
    </w:rPr>
  </w:style>
  <w:style w:type="character" w:customStyle="1" w:styleId="13">
    <w:name w:val="批注文字 字符"/>
    <w:link w:val="3"/>
    <w:qFormat/>
    <w:uiPriority w:val="0"/>
    <w:rPr>
      <w:rFonts w:eastAsia="楷体_GB2312"/>
      <w:kern w:val="2"/>
      <w:sz w:val="28"/>
      <w:szCs w:val="24"/>
    </w:rPr>
  </w:style>
  <w:style w:type="character" w:customStyle="1" w:styleId="14">
    <w:name w:val="页脚 字符"/>
    <w:link w:val="4"/>
    <w:qFormat/>
    <w:uiPriority w:val="99"/>
    <w:rPr>
      <w:rFonts w:eastAsia="楷体_GB2312"/>
      <w:kern w:val="2"/>
      <w:sz w:val="18"/>
      <w:szCs w:val="18"/>
    </w:rPr>
  </w:style>
  <w:style w:type="character" w:customStyle="1" w:styleId="15">
    <w:name w:val="页眉 字符"/>
    <w:link w:val="5"/>
    <w:qFormat/>
    <w:uiPriority w:val="99"/>
    <w:rPr>
      <w:rFonts w:eastAsia="楷体_GB2312"/>
      <w:kern w:val="2"/>
      <w:sz w:val="18"/>
      <w:szCs w:val="18"/>
    </w:rPr>
  </w:style>
  <w:style w:type="character" w:customStyle="1" w:styleId="16">
    <w:name w:val="批注主题 字符"/>
    <w:link w:val="6"/>
    <w:qFormat/>
    <w:uiPriority w:val="0"/>
    <w:rPr>
      <w:rFonts w:eastAsia="楷体_GB2312"/>
      <w:b/>
      <w:bCs/>
      <w:kern w:val="2"/>
      <w:sz w:val="28"/>
      <w:szCs w:val="24"/>
    </w:rPr>
  </w:style>
  <w:style w:type="paragraph" w:styleId="17">
    <w:name w:val="No Spacing"/>
    <w:qFormat/>
    <w:uiPriority w:val="1"/>
    <w:pPr>
      <w:widowControl w:val="0"/>
      <w:jc w:val="both"/>
    </w:pPr>
    <w:rPr>
      <w:rFonts w:ascii="Times New Roman" w:hAnsi="Times New Roman" w:eastAsia="楷体_GB2312" w:cs="Times New Roman"/>
      <w:kern w:val="2"/>
      <w:sz w:val="28"/>
      <w:szCs w:val="24"/>
      <w:lang w:val="en-US" w:eastAsia="zh-CN" w:bidi="ar-SA"/>
    </w:rPr>
  </w:style>
  <w:style w:type="paragraph" w:customStyle="1" w:styleId="18">
    <w:name w:val="_Style 17"/>
    <w:unhideWhenUsed/>
    <w:qFormat/>
    <w:uiPriority w:val="99"/>
    <w:rPr>
      <w:rFonts w:ascii="Times New Roman" w:hAnsi="Times New Roman" w:eastAsia="楷体_GB2312" w:cs="Times New Roman"/>
      <w:kern w:val="2"/>
      <w:sz w:val="28"/>
      <w:szCs w:val="24"/>
      <w:lang w:val="en-US" w:eastAsia="zh-CN" w:bidi="ar-SA"/>
    </w:rPr>
  </w:style>
  <w:style w:type="paragraph" w:customStyle="1" w:styleId="19">
    <w:name w:val="p0"/>
    <w:basedOn w:val="1"/>
    <w:qFormat/>
    <w:uiPriority w:val="0"/>
    <w:pPr>
      <w:widowControl/>
    </w:pPr>
    <w:rPr>
      <w:rFonts w:eastAsia="宋体"/>
      <w:kern w:val="0"/>
      <w:sz w:val="21"/>
      <w:szCs w:val="21"/>
    </w:rPr>
  </w:style>
  <w:style w:type="paragraph" w:customStyle="1" w:styleId="20">
    <w:name w:val="修订1"/>
    <w:hidden/>
    <w:unhideWhenUsed/>
    <w:qFormat/>
    <w:uiPriority w:val="99"/>
    <w:rPr>
      <w:rFonts w:ascii="Times New Roman" w:hAnsi="Times New Roman" w:eastAsia="楷体_GB2312" w:cs="Times New Roman"/>
      <w:kern w:val="2"/>
      <w:sz w:val="28"/>
      <w:szCs w:val="24"/>
      <w:lang w:val="en-US" w:eastAsia="zh-CN" w:bidi="ar-SA"/>
    </w:rPr>
  </w:style>
  <w:style w:type="paragraph" w:customStyle="1" w:styleId="21">
    <w:name w:val="修订2"/>
    <w:hidden/>
    <w:unhideWhenUsed/>
    <w:qFormat/>
    <w:uiPriority w:val="99"/>
    <w:rPr>
      <w:rFonts w:ascii="Times New Roman" w:hAnsi="Times New Roman" w:eastAsia="楷体_GB2312" w:cs="Times New Roman"/>
      <w:kern w:val="2"/>
      <w:sz w:val="28"/>
      <w:szCs w:val="24"/>
      <w:lang w:val="en-US" w:eastAsia="zh-CN" w:bidi="ar-SA"/>
    </w:rPr>
  </w:style>
  <w:style w:type="paragraph" w:customStyle="1" w:styleId="22">
    <w:name w:val="修订3"/>
    <w:hidden/>
    <w:unhideWhenUsed/>
    <w:qFormat/>
    <w:uiPriority w:val="99"/>
    <w:rPr>
      <w:rFonts w:ascii="Times New Roman" w:hAnsi="Times New Roman" w:eastAsia="楷体_GB2312" w:cs="Times New Roman"/>
      <w:kern w:val="2"/>
      <w:sz w:val="28"/>
      <w:szCs w:val="24"/>
      <w:lang w:val="en-US" w:eastAsia="zh-CN" w:bidi="ar-SA"/>
    </w:rPr>
  </w:style>
  <w:style w:type="paragraph" w:customStyle="1" w:styleId="23">
    <w:name w:val="Revision"/>
    <w:hidden/>
    <w:unhideWhenUsed/>
    <w:qFormat/>
    <w:uiPriority w:val="99"/>
    <w:rPr>
      <w:rFonts w:ascii="Times New Roman" w:hAnsi="Times New Roman" w:eastAsia="楷体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1171</Words>
  <Characters>6681</Characters>
  <Lines>55</Lines>
  <Paragraphs>15</Paragraphs>
  <TotalTime>40</TotalTime>
  <ScaleCrop>false</ScaleCrop>
  <LinksUpToDate>false</LinksUpToDate>
  <CharactersWithSpaces>7837</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2024-11-19T09:20:00Z</dcterms:created>
  <dc:creator>user</dc:creator>
  <cp:lastModifiedBy>newco</cp:lastModifiedBy>
  <cp:lastPrinted>2022-02-07T15:36:00Z</cp:lastPrinted>
  <dcterms:modified xsi:type="dcterms:W3CDTF">2024-11-22T09:30:42Z</dcterms:modified>
  <dc:title>合同登记编号：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0C7A9F4A286F4C35B727842B720536E7_13</vt:lpwstr>
  </property>
</Properties>
</file>